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8A0" w:rsidRPr="006718A0" w:rsidRDefault="006718A0" w:rsidP="006718A0">
      <w:pPr>
        <w:spacing w:after="0"/>
        <w:jc w:val="center"/>
        <w:rPr>
          <w:rFonts w:cs="Times New Roman"/>
          <w:b/>
          <w:color w:val="262626" w:themeColor="text1" w:themeTint="D9"/>
          <w:szCs w:val="24"/>
          <w:lang w:eastAsia="es-ES_tradnl"/>
        </w:rPr>
      </w:pPr>
      <w:r w:rsidRPr="006718A0">
        <w:rPr>
          <w:rFonts w:cs="Times New Roman"/>
          <w:b/>
          <w:color w:val="262626" w:themeColor="text1" w:themeTint="D9"/>
          <w:szCs w:val="24"/>
          <w:lang w:eastAsia="es-ES_tradnl"/>
        </w:rPr>
        <w:t>ANEXOS</w:t>
      </w:r>
    </w:p>
    <w:p w:rsidR="006718A0" w:rsidRDefault="006718A0" w:rsidP="006718A0">
      <w:pPr>
        <w:spacing w:after="0"/>
        <w:rPr>
          <w:rFonts w:cs="Times New Roman"/>
          <w:color w:val="262626" w:themeColor="text1" w:themeTint="D9"/>
          <w:szCs w:val="24"/>
        </w:rPr>
      </w:pPr>
      <w:bookmarkStart w:id="0" w:name="_GoBack"/>
      <w:r>
        <w:rPr>
          <w:rFonts w:cs="Times New Roman"/>
          <w:color w:val="262626" w:themeColor="text1" w:themeTint="D9"/>
          <w:szCs w:val="24"/>
        </w:rPr>
        <w:t>Los anexos que se presentan a continuación muestran a partir de tablas de forma detallada los hallazgos correspondientes al análisis sobre la caracterización de las intervenciones educativas del artículo presentado.</w:t>
      </w:r>
    </w:p>
    <w:bookmarkEnd w:id="0"/>
    <w:p w:rsidR="006718A0" w:rsidRPr="006718A0" w:rsidRDefault="006718A0" w:rsidP="006718A0">
      <w:pPr>
        <w:spacing w:after="0"/>
        <w:rPr>
          <w:rFonts w:cs="Times New Roman"/>
          <w:b/>
          <w:color w:val="262626" w:themeColor="text1" w:themeTint="D9"/>
          <w:szCs w:val="24"/>
          <w:lang w:eastAsia="es-ES_tradnl"/>
        </w:rPr>
      </w:pPr>
      <w:r w:rsidRPr="006718A0">
        <w:rPr>
          <w:rFonts w:cs="Times New Roman"/>
          <w:b/>
          <w:color w:val="262626" w:themeColor="text1" w:themeTint="D9"/>
          <w:szCs w:val="24"/>
          <w:lang w:eastAsia="es-ES_tradnl"/>
        </w:rPr>
        <w:t>Anexo 1.</w:t>
      </w:r>
    </w:p>
    <w:p w:rsidR="006718A0" w:rsidRPr="005B2B78" w:rsidRDefault="006718A0" w:rsidP="006718A0">
      <w:pPr>
        <w:spacing w:after="0" w:line="240" w:lineRule="auto"/>
        <w:jc w:val="center"/>
        <w:rPr>
          <w:rFonts w:cs="Times New Roman"/>
          <w:b/>
          <w:color w:val="262626" w:themeColor="text1" w:themeTint="D9"/>
          <w:szCs w:val="24"/>
        </w:rPr>
      </w:pPr>
      <w:r w:rsidRPr="005B2B78">
        <w:rPr>
          <w:rFonts w:cs="Times New Roman"/>
          <w:b/>
          <w:color w:val="262626" w:themeColor="text1" w:themeTint="D9"/>
          <w:szCs w:val="24"/>
        </w:rPr>
        <w:t>Tabla. Estudios sobre eficacia de los ambientes educativos digitales personalizados en el logro de aprendizaje de los estudiantes.</w:t>
      </w:r>
    </w:p>
    <w:p w:rsidR="006718A0" w:rsidRPr="005B2B78" w:rsidRDefault="006718A0" w:rsidP="006718A0">
      <w:pPr>
        <w:spacing w:after="0"/>
        <w:rPr>
          <w:rFonts w:cs="Times New Roman"/>
          <w:color w:val="262626" w:themeColor="text1" w:themeTint="D9"/>
          <w:szCs w:val="24"/>
        </w:rPr>
      </w:pPr>
      <w:r w:rsidRPr="005B2B78">
        <w:rPr>
          <w:rFonts w:cs="Times New Roman"/>
          <w:color w:val="262626" w:themeColor="text1" w:themeTint="D9"/>
          <w:szCs w:val="24"/>
        </w:rPr>
        <w:t>En cada columna se indica: a) los autores, b) la cantidad de grupos tenidos en cuenta para el análisis de datos, c) la cantidad de mediciones realizadas en la intervención con estudiantes, d) los instrumentos de recolección de información empleados, e) la validación efectuada a los instrumentos de recolección de información, f) el tipo de análisis estadístico efectuado, g) la duración de la intervención educativa, y g) los resultados.</w:t>
      </w:r>
    </w:p>
    <w:p w:rsidR="006718A0" w:rsidRPr="005B2B78" w:rsidRDefault="006718A0" w:rsidP="006718A0">
      <w:pPr>
        <w:spacing w:after="0"/>
        <w:rPr>
          <w:rFonts w:cs="Times New Roman"/>
          <w:b/>
          <w:color w:val="262626" w:themeColor="text1" w:themeTint="D9"/>
          <w:szCs w:val="24"/>
        </w:rPr>
      </w:pPr>
    </w:p>
    <w:tbl>
      <w:tblPr>
        <w:tblW w:w="9331" w:type="dxa"/>
        <w:tblInd w:w="20" w:type="dxa"/>
        <w:tblLayout w:type="fixed"/>
        <w:tblCellMar>
          <w:left w:w="0" w:type="dxa"/>
          <w:right w:w="0" w:type="dxa"/>
        </w:tblCellMar>
        <w:tblLook w:val="04A0" w:firstRow="1" w:lastRow="0" w:firstColumn="1" w:lastColumn="0" w:noHBand="0" w:noVBand="1"/>
      </w:tblPr>
      <w:tblGrid>
        <w:gridCol w:w="755"/>
        <w:gridCol w:w="213"/>
        <w:gridCol w:w="425"/>
        <w:gridCol w:w="2004"/>
        <w:gridCol w:w="1114"/>
        <w:gridCol w:w="1134"/>
        <w:gridCol w:w="993"/>
        <w:gridCol w:w="2693"/>
      </w:tblGrid>
      <w:tr w:rsidR="006718A0" w:rsidRPr="005B2B78" w:rsidTr="00FC2EE7">
        <w:trPr>
          <w:cantSplit/>
          <w:trHeight w:val="1149"/>
          <w:tblHeader/>
        </w:trPr>
        <w:tc>
          <w:tcPr>
            <w:tcW w:w="755" w:type="dxa"/>
            <w:tcBorders>
              <w:top w:val="single" w:sz="4" w:space="0" w:color="auto"/>
              <w:left w:val="single" w:sz="4" w:space="0" w:color="auto"/>
              <w:bottom w:val="single" w:sz="4" w:space="0" w:color="auto"/>
              <w:right w:val="single" w:sz="4" w:space="0" w:color="auto"/>
            </w:tcBorders>
            <w:shd w:val="clear" w:color="000000" w:fill="D0CECE"/>
            <w:tcMar>
              <w:top w:w="15" w:type="dxa"/>
              <w:left w:w="15" w:type="dxa"/>
              <w:bottom w:w="0" w:type="dxa"/>
              <w:right w:w="15" w:type="dxa"/>
            </w:tcMar>
            <w:vAlign w:val="center"/>
            <w:hideMark/>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Autor(es)</w:t>
            </w:r>
          </w:p>
        </w:tc>
        <w:tc>
          <w:tcPr>
            <w:tcW w:w="213" w:type="dxa"/>
            <w:tcBorders>
              <w:top w:val="single" w:sz="4" w:space="0" w:color="auto"/>
              <w:left w:val="nil"/>
              <w:bottom w:val="single" w:sz="4" w:space="0" w:color="auto"/>
              <w:right w:val="single" w:sz="4" w:space="0" w:color="auto"/>
            </w:tcBorders>
            <w:shd w:val="clear" w:color="000000" w:fill="D0CECE"/>
            <w:tcMar>
              <w:top w:w="15" w:type="dxa"/>
              <w:left w:w="15" w:type="dxa"/>
              <w:bottom w:w="0" w:type="dxa"/>
              <w:right w:w="15" w:type="dxa"/>
            </w:tcMar>
            <w:textDirection w:val="btLr"/>
            <w:vAlign w:val="center"/>
            <w:hideMark/>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cantidad  grupos</w:t>
            </w:r>
          </w:p>
        </w:tc>
        <w:tc>
          <w:tcPr>
            <w:tcW w:w="425" w:type="dxa"/>
            <w:tcBorders>
              <w:top w:val="single" w:sz="4" w:space="0" w:color="auto"/>
              <w:left w:val="nil"/>
              <w:bottom w:val="single" w:sz="4" w:space="0" w:color="auto"/>
              <w:right w:val="single" w:sz="4" w:space="0" w:color="auto"/>
            </w:tcBorders>
            <w:shd w:val="clear" w:color="000000" w:fill="D0CECE"/>
            <w:tcMar>
              <w:top w:w="15" w:type="dxa"/>
              <w:left w:w="15" w:type="dxa"/>
              <w:bottom w:w="0" w:type="dxa"/>
              <w:right w:w="15" w:type="dxa"/>
            </w:tcMar>
            <w:textDirection w:val="btLr"/>
            <w:vAlign w:val="center"/>
            <w:hideMark/>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Cantidad de mediciones</w:t>
            </w:r>
          </w:p>
        </w:tc>
        <w:tc>
          <w:tcPr>
            <w:tcW w:w="2004" w:type="dxa"/>
            <w:tcBorders>
              <w:top w:val="single" w:sz="4" w:space="0" w:color="auto"/>
              <w:left w:val="nil"/>
              <w:bottom w:val="single" w:sz="4" w:space="0" w:color="auto"/>
              <w:right w:val="single" w:sz="4" w:space="0" w:color="auto"/>
            </w:tcBorders>
            <w:shd w:val="clear" w:color="000000" w:fill="D0CECE"/>
            <w:tcMar>
              <w:top w:w="15" w:type="dxa"/>
              <w:left w:w="15" w:type="dxa"/>
              <w:bottom w:w="0" w:type="dxa"/>
              <w:right w:w="15" w:type="dxa"/>
            </w:tcMar>
            <w:vAlign w:val="center"/>
            <w:hideMark/>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Instrumentos de recolección de información</w:t>
            </w:r>
          </w:p>
        </w:tc>
        <w:tc>
          <w:tcPr>
            <w:tcW w:w="1114" w:type="dxa"/>
            <w:tcBorders>
              <w:top w:val="single" w:sz="4" w:space="0" w:color="auto"/>
              <w:left w:val="nil"/>
              <w:bottom w:val="single" w:sz="4" w:space="0" w:color="auto"/>
              <w:right w:val="single" w:sz="4" w:space="0" w:color="auto"/>
            </w:tcBorders>
            <w:shd w:val="clear" w:color="000000" w:fill="D0CECE"/>
            <w:tcMar>
              <w:top w:w="15" w:type="dxa"/>
              <w:left w:w="15" w:type="dxa"/>
              <w:bottom w:w="0" w:type="dxa"/>
              <w:right w:w="15" w:type="dxa"/>
            </w:tcMar>
            <w:vAlign w:val="center"/>
            <w:hideMark/>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Validación de instrumentos</w:t>
            </w:r>
          </w:p>
        </w:tc>
        <w:tc>
          <w:tcPr>
            <w:tcW w:w="1134" w:type="dxa"/>
            <w:tcBorders>
              <w:top w:val="single" w:sz="4" w:space="0" w:color="auto"/>
              <w:left w:val="nil"/>
              <w:bottom w:val="single" w:sz="4" w:space="0" w:color="auto"/>
              <w:right w:val="single" w:sz="4" w:space="0" w:color="auto"/>
            </w:tcBorders>
            <w:shd w:val="clear" w:color="000000" w:fill="D0CECE"/>
            <w:tcMar>
              <w:top w:w="15" w:type="dxa"/>
              <w:left w:w="15" w:type="dxa"/>
              <w:bottom w:w="0" w:type="dxa"/>
              <w:right w:w="15" w:type="dxa"/>
            </w:tcMar>
            <w:vAlign w:val="center"/>
            <w:hideMark/>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Tipo de análisis</w:t>
            </w:r>
          </w:p>
        </w:tc>
        <w:tc>
          <w:tcPr>
            <w:tcW w:w="993" w:type="dxa"/>
            <w:tcBorders>
              <w:top w:val="single" w:sz="4" w:space="0" w:color="auto"/>
              <w:left w:val="nil"/>
              <w:bottom w:val="single" w:sz="4" w:space="0" w:color="auto"/>
              <w:right w:val="single" w:sz="4" w:space="0" w:color="auto"/>
            </w:tcBorders>
            <w:shd w:val="clear" w:color="000000" w:fill="D0CECE"/>
            <w:vAlign w:val="center"/>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Tiempo de intervención</w:t>
            </w:r>
          </w:p>
        </w:tc>
        <w:tc>
          <w:tcPr>
            <w:tcW w:w="2693" w:type="dxa"/>
            <w:tcBorders>
              <w:top w:val="single" w:sz="4" w:space="0" w:color="auto"/>
              <w:left w:val="single" w:sz="4" w:space="0" w:color="auto"/>
              <w:bottom w:val="single" w:sz="4" w:space="0" w:color="auto"/>
              <w:right w:val="single" w:sz="4" w:space="0" w:color="auto"/>
            </w:tcBorders>
            <w:shd w:val="clear" w:color="000000" w:fill="D0CECE"/>
            <w:tcMar>
              <w:top w:w="15" w:type="dxa"/>
              <w:left w:w="15" w:type="dxa"/>
              <w:bottom w:w="0" w:type="dxa"/>
              <w:right w:w="15" w:type="dxa"/>
            </w:tcMar>
            <w:vAlign w:val="center"/>
            <w:hideMark/>
          </w:tcPr>
          <w:p w:rsidR="006718A0" w:rsidRPr="005B2B78" w:rsidRDefault="006718A0" w:rsidP="00FC2EE7">
            <w:pPr>
              <w:spacing w:after="0" w:line="216" w:lineRule="auto"/>
              <w:jc w:val="center"/>
              <w:rPr>
                <w:b/>
                <w:bCs/>
                <w:color w:val="000000"/>
                <w:sz w:val="16"/>
                <w:szCs w:val="16"/>
              </w:rPr>
            </w:pPr>
            <w:r w:rsidRPr="005B2B78">
              <w:rPr>
                <w:b/>
                <w:bCs/>
                <w:color w:val="000000"/>
                <w:sz w:val="16"/>
                <w:szCs w:val="16"/>
              </w:rPr>
              <w:t>Resultados</w:t>
            </w:r>
          </w:p>
        </w:tc>
      </w:tr>
      <w:tr w:rsidR="006718A0" w:rsidRPr="005B2B78" w:rsidTr="00FC2EE7">
        <w:trPr>
          <w:trHeight w:val="584"/>
        </w:trPr>
        <w:tc>
          <w:tcPr>
            <w:tcW w:w="75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lang w:val="en-US"/>
              </w:rPr>
            </w:pPr>
            <w:r w:rsidRPr="005B2B78">
              <w:rPr>
                <w:color w:val="000000"/>
                <w:sz w:val="16"/>
                <w:szCs w:val="16"/>
                <w:lang w:val="en-US"/>
              </w:rPr>
              <w:t>Yang, et al. (2013)</w:t>
            </w:r>
          </w:p>
        </w:tc>
        <w:tc>
          <w:tcPr>
            <w:tcW w:w="2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4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pretest de conocimientos. 15 ítems de selección múltiple.</w:t>
            </w:r>
          </w:p>
        </w:tc>
        <w:tc>
          <w:tcPr>
            <w:tcW w:w="11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Diseñado por el maestro y validado por expertos</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Prueba T para muestras independientes.</w:t>
            </w:r>
          </w:p>
        </w:tc>
        <w:tc>
          <w:tcPr>
            <w:tcW w:w="993"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120 minutos</w:t>
            </w:r>
          </w:p>
        </w:tc>
        <w:tc>
          <w:tcPr>
            <w:tcW w:w="2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*Mejora significativamente el logro de aprendizaje de los estudiantes del grupo experimental (adaptado a los estilos de aprendizaje).</w:t>
            </w:r>
          </w:p>
        </w:tc>
      </w:tr>
      <w:tr w:rsidR="006718A0" w:rsidRPr="005B2B78" w:rsidTr="00FC2EE7">
        <w:trPr>
          <w:trHeight w:val="503"/>
        </w:trPr>
        <w:tc>
          <w:tcPr>
            <w:tcW w:w="75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213"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postest de conocimientos. 10 ítems V/F y 23  de selección múltiple.</w:t>
            </w:r>
          </w:p>
        </w:tc>
        <w:tc>
          <w:tcPr>
            <w:tcW w:w="111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ANCOVA</w:t>
            </w:r>
          </w:p>
        </w:tc>
        <w:tc>
          <w:tcPr>
            <w:tcW w:w="993"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p>
        </w:tc>
        <w:tc>
          <w:tcPr>
            <w:tcW w:w="2693" w:type="dxa"/>
            <w:vMerge/>
            <w:tcBorders>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r>
      <w:tr w:rsidR="006718A0" w:rsidRPr="005B2B78" w:rsidTr="00FC2EE7">
        <w:trPr>
          <w:trHeight w:val="799"/>
        </w:trPr>
        <w:tc>
          <w:tcPr>
            <w:tcW w:w="7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lang w:val="en-US"/>
              </w:rPr>
            </w:pPr>
            <w:r w:rsidRPr="005B2B78">
              <w:rPr>
                <w:color w:val="000000"/>
                <w:sz w:val="16"/>
                <w:szCs w:val="16"/>
                <w:lang w:val="en-US"/>
              </w:rPr>
              <w:t>Wang &amp; Liao (2011)</w:t>
            </w:r>
          </w:p>
        </w:tc>
        <w:tc>
          <w:tcPr>
            <w:tcW w:w="2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pretest  y Un postest de comprensión de lectura de inglés</w:t>
            </w:r>
          </w:p>
        </w:tc>
        <w:tc>
          <w:tcPr>
            <w:tcW w:w="11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Basado en Test de proficiencia general de inglés (GEPT)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Prueba T para muestras independientes.</w:t>
            </w:r>
          </w:p>
        </w:tc>
        <w:tc>
          <w:tcPr>
            <w:tcW w:w="993" w:type="dxa"/>
            <w:tcBorders>
              <w:top w:val="single" w:sz="4" w:space="0" w:color="auto"/>
              <w:left w:val="nil"/>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Cuatro semanas.</w:t>
            </w:r>
            <w:r w:rsidRPr="005B2B78">
              <w:rPr>
                <w:color w:val="000000"/>
                <w:sz w:val="16"/>
                <w:szCs w:val="16"/>
              </w:rPr>
              <w:br/>
              <w:t>Tres  presenciales y</w:t>
            </w:r>
            <w:r w:rsidRPr="005B2B78">
              <w:rPr>
                <w:color w:val="000000"/>
                <w:sz w:val="16"/>
                <w:szCs w:val="16"/>
              </w:rPr>
              <w:br/>
              <w:t>una de trabajo independiente</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*El grupo experimental (ambiente adaptado) superó significativamente el desempeño de los estudiantes del grupo control (sin adaptación).</w:t>
            </w:r>
          </w:p>
        </w:tc>
      </w:tr>
      <w:tr w:rsidR="006718A0" w:rsidRPr="005B2B78" w:rsidTr="00FC2EE7">
        <w:trPr>
          <w:trHeight w:val="432"/>
        </w:trPr>
        <w:tc>
          <w:tcPr>
            <w:tcW w:w="75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lang w:val="en-US"/>
              </w:rPr>
            </w:pPr>
            <w:r w:rsidRPr="005B2B78">
              <w:rPr>
                <w:color w:val="000000"/>
                <w:sz w:val="16"/>
                <w:szCs w:val="16"/>
                <w:lang w:val="en-US"/>
              </w:rPr>
              <w:t>Hwang, et al. (2013)</w:t>
            </w:r>
          </w:p>
        </w:tc>
        <w:tc>
          <w:tcPr>
            <w:tcW w:w="2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4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pretest  de conocimientos. Ítems de selección múltiple y diligenciar espacios en blanco.</w:t>
            </w:r>
          </w:p>
        </w:tc>
        <w:tc>
          <w:tcPr>
            <w:tcW w:w="11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 xml:space="preserve">ANCOVA </w:t>
            </w:r>
          </w:p>
        </w:tc>
        <w:tc>
          <w:tcPr>
            <w:tcW w:w="993"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2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*Los estudiantes que interactuaron con versiones del ambiente ajustadas al estilo de aprendizaje muestran significativamente mejor rendimiento que los estudiantes que interactuaron con versiones no ajustadas.</w:t>
            </w:r>
          </w:p>
        </w:tc>
      </w:tr>
      <w:tr w:rsidR="006718A0" w:rsidRPr="005B2B78" w:rsidTr="00FC2EE7">
        <w:trPr>
          <w:trHeight w:val="158"/>
        </w:trPr>
        <w:tc>
          <w:tcPr>
            <w:tcW w:w="75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213"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postest de conocimientos. 20 ítems de selección múltiple.</w:t>
            </w:r>
          </w:p>
        </w:tc>
        <w:tc>
          <w:tcPr>
            <w:tcW w:w="111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993"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p>
        </w:tc>
        <w:tc>
          <w:tcPr>
            <w:tcW w:w="2693" w:type="dxa"/>
            <w:vMerge/>
            <w:tcBorders>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r>
      <w:tr w:rsidR="006718A0" w:rsidRPr="005B2B78" w:rsidTr="00FC2EE7">
        <w:trPr>
          <w:trHeight w:val="617"/>
        </w:trPr>
        <w:tc>
          <w:tcPr>
            <w:tcW w:w="75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lang w:val="en-US"/>
              </w:rPr>
            </w:pPr>
            <w:r w:rsidRPr="005B2B78">
              <w:rPr>
                <w:color w:val="000000"/>
                <w:sz w:val="16"/>
                <w:szCs w:val="16"/>
                <w:lang w:val="en-US"/>
              </w:rPr>
              <w:t>Jong, et al. (2012)</w:t>
            </w:r>
          </w:p>
        </w:tc>
        <w:tc>
          <w:tcPr>
            <w:tcW w:w="2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4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3</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 xml:space="preserve">Un pretest de conocimientos.  </w:t>
            </w:r>
          </w:p>
        </w:tc>
        <w:tc>
          <w:tcPr>
            <w:tcW w:w="11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ANOVA</w:t>
            </w:r>
          </w:p>
        </w:tc>
        <w:tc>
          <w:tcPr>
            <w:tcW w:w="993"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20 semanas.</w:t>
            </w:r>
          </w:p>
        </w:tc>
        <w:tc>
          <w:tcPr>
            <w:tcW w:w="2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 xml:space="preserve">*Se aplican los dos postest a la mitad y al final del curso. Los mensajes de advertencia adaptativos (basados en los estilos de pensamiento y comportamientos en línea) tienen influencia significativa en los logros de aprendizaje de los estudiantes. </w:t>
            </w:r>
          </w:p>
        </w:tc>
      </w:tr>
      <w:tr w:rsidR="006718A0" w:rsidRPr="005B2B78" w:rsidTr="00FC2EE7">
        <w:trPr>
          <w:trHeight w:val="541"/>
        </w:trPr>
        <w:tc>
          <w:tcPr>
            <w:tcW w:w="75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213"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20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 xml:space="preserve">Dos postest de conocimientos. </w:t>
            </w:r>
          </w:p>
        </w:tc>
        <w:tc>
          <w:tcPr>
            <w:tcW w:w="111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ANOVA</w:t>
            </w:r>
          </w:p>
        </w:tc>
        <w:tc>
          <w:tcPr>
            <w:tcW w:w="993"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p>
        </w:tc>
        <w:tc>
          <w:tcPr>
            <w:tcW w:w="2693" w:type="dxa"/>
            <w:vMerge/>
            <w:tcBorders>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r>
      <w:tr w:rsidR="006718A0" w:rsidRPr="005B2B78" w:rsidTr="00FC2EE7">
        <w:trPr>
          <w:trHeight w:val="493"/>
        </w:trPr>
        <w:tc>
          <w:tcPr>
            <w:tcW w:w="75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Surjono, H. D. (2015)</w:t>
            </w:r>
          </w:p>
        </w:tc>
        <w:tc>
          <w:tcPr>
            <w:tcW w:w="2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4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3</w:t>
            </w:r>
          </w:p>
        </w:tc>
        <w:tc>
          <w:tcPr>
            <w:tcW w:w="20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pretest de conocimientos</w:t>
            </w:r>
          </w:p>
        </w:tc>
        <w:tc>
          <w:tcPr>
            <w:tcW w:w="11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Análisis estadístico multinivel avanzado (de las tres mediciones).</w:t>
            </w:r>
          </w:p>
        </w:tc>
        <w:tc>
          <w:tcPr>
            <w:tcW w:w="993"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lang w:val="pt-PT"/>
              </w:rPr>
            </w:pPr>
            <w:r w:rsidRPr="005B2B78">
              <w:rPr>
                <w:color w:val="000000"/>
                <w:sz w:val="16"/>
                <w:szCs w:val="16"/>
                <w:lang w:val="pt-PT"/>
              </w:rPr>
              <w:t>7 semanas dos horas por semana.</w:t>
            </w:r>
          </w:p>
        </w:tc>
        <w:tc>
          <w:tcPr>
            <w:tcW w:w="2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sistema e-</w:t>
            </w:r>
            <w:proofErr w:type="spellStart"/>
            <w:r w:rsidRPr="005B2B78">
              <w:rPr>
                <w:color w:val="000000"/>
                <w:sz w:val="16"/>
                <w:szCs w:val="16"/>
              </w:rPr>
              <w:t>learning</w:t>
            </w:r>
            <w:proofErr w:type="spellEnd"/>
            <w:r w:rsidRPr="005B2B78">
              <w:rPr>
                <w:color w:val="000000"/>
                <w:sz w:val="16"/>
                <w:szCs w:val="16"/>
              </w:rPr>
              <w:t xml:space="preserve"> adaptativo al estilo de aprendizaje y preferencia multimedia tiene efectos positivos y superiores en contraste a un sólo factor adaptativo o sin coincidencia.</w:t>
            </w:r>
          </w:p>
        </w:tc>
      </w:tr>
      <w:tr w:rsidR="006718A0" w:rsidRPr="005B2B78" w:rsidTr="00FC2EE7">
        <w:trPr>
          <w:trHeight w:val="552"/>
        </w:trPr>
        <w:tc>
          <w:tcPr>
            <w:tcW w:w="75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213"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 xml:space="preserve">Dos Postest de conocimientos. </w:t>
            </w:r>
          </w:p>
        </w:tc>
        <w:tc>
          <w:tcPr>
            <w:tcW w:w="111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993"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p>
        </w:tc>
        <w:tc>
          <w:tcPr>
            <w:tcW w:w="2693" w:type="dxa"/>
            <w:vMerge/>
            <w:tcBorders>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r>
      <w:tr w:rsidR="006718A0" w:rsidRPr="005B2B78" w:rsidTr="00FC2EE7">
        <w:trPr>
          <w:trHeight w:val="624"/>
        </w:trPr>
        <w:tc>
          <w:tcPr>
            <w:tcW w:w="75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lang w:val="en-US"/>
              </w:rPr>
            </w:pPr>
            <w:r w:rsidRPr="005B2B78">
              <w:rPr>
                <w:color w:val="000000"/>
                <w:sz w:val="16"/>
                <w:szCs w:val="16"/>
                <w:lang w:val="en-US"/>
              </w:rPr>
              <w:t>Anthony, et al. (2013)</w:t>
            </w:r>
          </w:p>
        </w:tc>
        <w:tc>
          <w:tcPr>
            <w:tcW w:w="2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4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3</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pretest. / Conocimientos</w:t>
            </w:r>
          </w:p>
        </w:tc>
        <w:tc>
          <w:tcPr>
            <w:tcW w:w="11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Promedios de resultados obtenidos.</w:t>
            </w:r>
          </w:p>
        </w:tc>
        <w:tc>
          <w:tcPr>
            <w:tcW w:w="993"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5 meses</w:t>
            </w:r>
          </w:p>
        </w:tc>
        <w:tc>
          <w:tcPr>
            <w:tcW w:w="2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 xml:space="preserve">*Los estudiantes que emplearon el ambiente adaptado a los estilos de aprendizaje mostraron una mejora en sus evaluaciones académicas globales en contraste de los estudiantes que emplearon un sistema tradicional.  </w:t>
            </w:r>
          </w:p>
        </w:tc>
      </w:tr>
      <w:tr w:rsidR="006718A0" w:rsidRPr="005B2B78" w:rsidTr="00FC2EE7">
        <w:trPr>
          <w:trHeight w:val="412"/>
        </w:trPr>
        <w:tc>
          <w:tcPr>
            <w:tcW w:w="75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213"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Dos Postest. / Conocimientos</w:t>
            </w:r>
          </w:p>
        </w:tc>
        <w:tc>
          <w:tcPr>
            <w:tcW w:w="111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993"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rPr>
                <w:color w:val="000000"/>
                <w:sz w:val="16"/>
                <w:szCs w:val="16"/>
              </w:rPr>
            </w:pPr>
          </w:p>
        </w:tc>
        <w:tc>
          <w:tcPr>
            <w:tcW w:w="2693" w:type="dxa"/>
            <w:vMerge/>
            <w:tcBorders>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r>
      <w:tr w:rsidR="006718A0" w:rsidRPr="005B2B78" w:rsidTr="00FC2EE7">
        <w:trPr>
          <w:trHeight w:val="737"/>
        </w:trPr>
        <w:tc>
          <w:tcPr>
            <w:tcW w:w="7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lastRenderedPageBreak/>
              <w:t>Tsianos, et al. (2009)</w:t>
            </w:r>
          </w:p>
        </w:tc>
        <w:tc>
          <w:tcPr>
            <w:tcW w:w="2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1</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postest. Conocimientos.</w:t>
            </w:r>
          </w:p>
        </w:tc>
        <w:tc>
          <w:tcPr>
            <w:tcW w:w="11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Análisis de varianza.</w:t>
            </w:r>
          </w:p>
        </w:tc>
        <w:tc>
          <w:tcPr>
            <w:tcW w:w="993" w:type="dxa"/>
            <w:tcBorders>
              <w:top w:val="single" w:sz="4" w:space="0" w:color="auto"/>
              <w:left w:val="nil"/>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*La coincidencia del estilo instruccional y el estilo cognitivo de los estudiantes promueve el rendimiento de aprendizaje.</w:t>
            </w:r>
          </w:p>
        </w:tc>
      </w:tr>
      <w:tr w:rsidR="006718A0" w:rsidRPr="005B2B78" w:rsidTr="00FC2EE7">
        <w:trPr>
          <w:trHeight w:val="832"/>
        </w:trPr>
        <w:tc>
          <w:tcPr>
            <w:tcW w:w="75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Gamalel-Din, (2010)</w:t>
            </w:r>
          </w:p>
        </w:tc>
        <w:tc>
          <w:tcPr>
            <w:tcW w:w="2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1</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postest de conocimientos. 10 ítems. Preguntas de opción múltiple y de respuestas abiertas.</w:t>
            </w:r>
          </w:p>
        </w:tc>
        <w:tc>
          <w:tcPr>
            <w:tcW w:w="11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Media y desviación estándar</w:t>
            </w:r>
          </w:p>
        </w:tc>
        <w:tc>
          <w:tcPr>
            <w:tcW w:w="993" w:type="dxa"/>
            <w:tcBorders>
              <w:top w:val="single" w:sz="4" w:space="0" w:color="auto"/>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En el experimento 1 emplea tiempo ilimitado</w:t>
            </w:r>
          </w:p>
        </w:tc>
        <w:tc>
          <w:tcPr>
            <w:tcW w:w="2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*Realiza dos experimentos. En cada experimento trabaja: un grupo con coincidencia estilística, otro sin coincidencia y otro como grupo control.</w:t>
            </w:r>
            <w:r w:rsidRPr="005B2B78">
              <w:rPr>
                <w:color w:val="000000"/>
                <w:sz w:val="16"/>
                <w:szCs w:val="16"/>
              </w:rPr>
              <w:br/>
              <w:t>*Resultados experimento 1: mejores resultados de desempeño y menos tiempo empleado.</w:t>
            </w:r>
            <w:r w:rsidRPr="005B2B78">
              <w:rPr>
                <w:color w:val="000000"/>
                <w:sz w:val="16"/>
                <w:szCs w:val="16"/>
              </w:rPr>
              <w:br/>
              <w:t>*Resultados  experimento 2: mejora en el desempeño del grupo coincidente.</w:t>
            </w:r>
          </w:p>
        </w:tc>
      </w:tr>
      <w:tr w:rsidR="006718A0" w:rsidRPr="005B2B78" w:rsidTr="00FC2EE7">
        <w:trPr>
          <w:trHeight w:val="489"/>
        </w:trPr>
        <w:tc>
          <w:tcPr>
            <w:tcW w:w="75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213"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1</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postest de conocimientos. 28 ítems. Preguntas de opción múltiple y preguntas abiertas.</w:t>
            </w:r>
          </w:p>
        </w:tc>
        <w:tc>
          <w:tcPr>
            <w:tcW w:w="111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Comparación de medias</w:t>
            </w:r>
          </w:p>
        </w:tc>
        <w:tc>
          <w:tcPr>
            <w:tcW w:w="993" w:type="dxa"/>
            <w:tcBorders>
              <w:top w:val="single" w:sz="4" w:space="0" w:color="auto"/>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En el experimento 2 emplea 1:15h</w:t>
            </w:r>
          </w:p>
        </w:tc>
        <w:tc>
          <w:tcPr>
            <w:tcW w:w="2693" w:type="dxa"/>
            <w:vMerge/>
            <w:tcBorders>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r>
      <w:tr w:rsidR="006718A0" w:rsidRPr="005B2B78" w:rsidTr="00FC2EE7">
        <w:trPr>
          <w:trHeight w:val="620"/>
        </w:trPr>
        <w:tc>
          <w:tcPr>
            <w:tcW w:w="75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Tseng, et al. (2008)</w:t>
            </w:r>
          </w:p>
        </w:tc>
        <w:tc>
          <w:tcPr>
            <w:tcW w:w="2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3</w:t>
            </w:r>
          </w:p>
        </w:tc>
        <w:tc>
          <w:tcPr>
            <w:tcW w:w="4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2</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Pretest de conocimiento  y habilidades de computación.</w:t>
            </w:r>
          </w:p>
        </w:tc>
        <w:tc>
          <w:tcPr>
            <w:tcW w:w="111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ANOVA</w:t>
            </w:r>
          </w:p>
        </w:tc>
        <w:tc>
          <w:tcPr>
            <w:tcW w:w="993"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2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 xml:space="preserve">*Los ambientes adaptativos con un origen o dos orígenes de adaptación pueden mejorar la eficacia (conocimiento) y eficiencia de los estudiantes en comparación con un ambiente no adaptativo. </w:t>
            </w:r>
          </w:p>
        </w:tc>
      </w:tr>
      <w:tr w:rsidR="006718A0" w:rsidRPr="005B2B78" w:rsidTr="00FC2EE7">
        <w:trPr>
          <w:trHeight w:val="258"/>
        </w:trPr>
        <w:tc>
          <w:tcPr>
            <w:tcW w:w="75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213"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Postest de conocimientos</w:t>
            </w:r>
          </w:p>
        </w:tc>
        <w:tc>
          <w:tcPr>
            <w:tcW w:w="111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jc w:val="cente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c>
          <w:tcPr>
            <w:tcW w:w="993"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rPr>
                <w:color w:val="000000"/>
                <w:sz w:val="16"/>
                <w:szCs w:val="16"/>
              </w:rPr>
            </w:pPr>
          </w:p>
        </w:tc>
        <w:tc>
          <w:tcPr>
            <w:tcW w:w="2693" w:type="dxa"/>
            <w:vMerge/>
            <w:tcBorders>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color w:val="000000"/>
                <w:sz w:val="16"/>
                <w:szCs w:val="16"/>
              </w:rPr>
            </w:pPr>
          </w:p>
        </w:tc>
      </w:tr>
      <w:tr w:rsidR="006718A0" w:rsidRPr="005B2B78" w:rsidTr="00FC2EE7">
        <w:trPr>
          <w:trHeight w:val="794"/>
        </w:trPr>
        <w:tc>
          <w:tcPr>
            <w:tcW w:w="7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lang w:val="en-US"/>
              </w:rPr>
            </w:pPr>
            <w:r w:rsidRPr="005B2B78">
              <w:rPr>
                <w:color w:val="000000"/>
                <w:sz w:val="16"/>
                <w:szCs w:val="16"/>
                <w:lang w:val="en-US"/>
              </w:rPr>
              <w:t>Kim, et al (2013)</w:t>
            </w:r>
          </w:p>
        </w:tc>
        <w:tc>
          <w:tcPr>
            <w:tcW w:w="2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1</w:t>
            </w:r>
          </w:p>
        </w:tc>
        <w:tc>
          <w:tcPr>
            <w:tcW w:w="20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Un postest de conocimientos.  20 preguntas (10 ítems de opción múltiple y 10 de respuesta abierta)  y realización de un mapa cognitivo.</w:t>
            </w:r>
          </w:p>
        </w:tc>
        <w:tc>
          <w:tcPr>
            <w:tcW w:w="11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jc w:val="center"/>
              <w:rPr>
                <w:color w:val="000000"/>
                <w:sz w:val="16"/>
                <w:szCs w:val="16"/>
              </w:rPr>
            </w:pPr>
            <w:r w:rsidRPr="005B2B78">
              <w:rPr>
                <w:color w:val="000000"/>
                <w:sz w:val="16"/>
                <w:szCs w:val="16"/>
              </w:rPr>
              <w:t>No informa</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Media de los resultados del postest en un diseño factorial.</w:t>
            </w:r>
          </w:p>
        </w:tc>
        <w:tc>
          <w:tcPr>
            <w:tcW w:w="993" w:type="dxa"/>
            <w:tcBorders>
              <w:top w:val="single" w:sz="4" w:space="0" w:color="auto"/>
              <w:left w:val="nil"/>
              <w:bottom w:val="single" w:sz="4" w:space="0" w:color="auto"/>
              <w:right w:val="single" w:sz="4" w:space="0" w:color="auto"/>
            </w:tcBorders>
            <w:vAlign w:val="center"/>
          </w:tcPr>
          <w:p w:rsidR="006718A0" w:rsidRPr="005B2B78" w:rsidRDefault="006718A0" w:rsidP="00FC2EE7">
            <w:pPr>
              <w:spacing w:after="0" w:line="216" w:lineRule="auto"/>
              <w:rPr>
                <w:color w:val="000000"/>
                <w:sz w:val="16"/>
                <w:szCs w:val="16"/>
              </w:rPr>
            </w:pPr>
            <w:r w:rsidRPr="005B2B78">
              <w:rPr>
                <w:color w:val="000000"/>
                <w:sz w:val="16"/>
                <w:szCs w:val="16"/>
              </w:rPr>
              <w:t xml:space="preserve">Dos sesiones. </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718A0" w:rsidRPr="005B2B78" w:rsidRDefault="006718A0" w:rsidP="00FC2EE7">
            <w:pPr>
              <w:spacing w:after="0" w:line="216" w:lineRule="auto"/>
              <w:rPr>
                <w:color w:val="000000"/>
                <w:sz w:val="16"/>
                <w:szCs w:val="16"/>
              </w:rPr>
            </w:pPr>
            <w:r w:rsidRPr="005B2B78">
              <w:rPr>
                <w:color w:val="000000"/>
                <w:sz w:val="16"/>
                <w:szCs w:val="16"/>
              </w:rPr>
              <w:t>*La concordancia de la personalidad del alumno con el diseño instruccional preferido  pueden influenciar la facilidad con que una actividad de aprendizaje de realiza.</w:t>
            </w:r>
          </w:p>
        </w:tc>
      </w:tr>
    </w:tbl>
    <w:p w:rsidR="006718A0" w:rsidRPr="005B2B78" w:rsidRDefault="006718A0" w:rsidP="006718A0">
      <w:pPr>
        <w:spacing w:after="0"/>
        <w:rPr>
          <w:rFonts w:cs="Times New Roman"/>
          <w:b/>
          <w:color w:val="262626" w:themeColor="text1" w:themeTint="D9"/>
          <w:szCs w:val="24"/>
        </w:rPr>
      </w:pPr>
    </w:p>
    <w:p w:rsidR="006718A0" w:rsidRPr="005B2B78" w:rsidRDefault="006718A0" w:rsidP="006718A0">
      <w:pPr>
        <w:spacing w:after="0"/>
        <w:rPr>
          <w:rFonts w:cs="Times New Roman"/>
          <w:b/>
          <w:color w:val="262626" w:themeColor="text1" w:themeTint="D9"/>
          <w:szCs w:val="24"/>
          <w:lang w:eastAsia="es-ES_tradnl"/>
        </w:rPr>
      </w:pPr>
      <w:r w:rsidRPr="005B2B78">
        <w:rPr>
          <w:rFonts w:cs="Times New Roman"/>
          <w:b/>
          <w:color w:val="262626" w:themeColor="text1" w:themeTint="D9"/>
          <w:szCs w:val="24"/>
          <w:lang w:eastAsia="es-ES_tradnl"/>
        </w:rPr>
        <w:t>Anexo 2.</w:t>
      </w:r>
    </w:p>
    <w:p w:rsidR="006718A0" w:rsidRPr="005B2B78" w:rsidRDefault="006718A0" w:rsidP="006718A0">
      <w:pPr>
        <w:spacing w:after="0" w:line="240" w:lineRule="auto"/>
        <w:jc w:val="center"/>
        <w:rPr>
          <w:rFonts w:cs="Times New Roman"/>
          <w:b/>
          <w:color w:val="262626" w:themeColor="text1" w:themeTint="D9"/>
          <w:szCs w:val="24"/>
        </w:rPr>
      </w:pPr>
      <w:r w:rsidRPr="005B2B78">
        <w:rPr>
          <w:rFonts w:cs="Times New Roman"/>
          <w:b/>
          <w:color w:val="262626" w:themeColor="text1" w:themeTint="D9"/>
          <w:szCs w:val="24"/>
        </w:rPr>
        <w:t>Tabla. Estudios sobre la percepción de los estudiantes hacia los ambientes educativos digitales personalizados.</w:t>
      </w:r>
    </w:p>
    <w:p w:rsidR="006718A0" w:rsidRPr="005B2B78" w:rsidRDefault="006718A0" w:rsidP="006718A0">
      <w:pPr>
        <w:spacing w:after="0"/>
        <w:rPr>
          <w:rFonts w:cs="Times New Roman"/>
          <w:color w:val="262626" w:themeColor="text1" w:themeTint="D9"/>
          <w:szCs w:val="24"/>
        </w:rPr>
      </w:pPr>
      <w:r w:rsidRPr="005B2B78">
        <w:rPr>
          <w:rFonts w:cs="Times New Roman"/>
          <w:color w:val="262626" w:themeColor="text1" w:themeTint="D9"/>
          <w:szCs w:val="24"/>
        </w:rPr>
        <w:t xml:space="preserve">En cada columna se indica: a) los autores, b) la cantidad de grupos tenidos en cuenta para el análisis de datos, c) la cantidad de mediciones realizadas en la intervención con estudiantes, d) los instrumentos de recolección de información empleados, e) la validación efectuada a los instrumentos de recolección de información, f) el tipo de análisis estadístico efectuado, g) la duración de la intervención educativa, y g) los resultados.  </w:t>
      </w:r>
    </w:p>
    <w:p w:rsidR="006718A0" w:rsidRPr="005B2B78" w:rsidRDefault="006718A0" w:rsidP="006718A0">
      <w:pPr>
        <w:spacing w:after="0"/>
        <w:rPr>
          <w:rFonts w:cs="Times New Roman"/>
          <w:b/>
          <w:color w:val="262626" w:themeColor="text1" w:themeTint="D9"/>
          <w:szCs w:val="24"/>
          <w:lang w:eastAsia="es-ES_tradnl"/>
        </w:rPr>
      </w:pPr>
    </w:p>
    <w:tbl>
      <w:tblPr>
        <w:tblW w:w="934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72"/>
        <w:gridCol w:w="477"/>
        <w:gridCol w:w="2219"/>
        <w:gridCol w:w="1134"/>
        <w:gridCol w:w="992"/>
        <w:gridCol w:w="851"/>
        <w:gridCol w:w="2410"/>
      </w:tblGrid>
      <w:tr w:rsidR="006718A0" w:rsidRPr="005B2B78" w:rsidTr="00FC2EE7">
        <w:trPr>
          <w:cantSplit/>
          <w:trHeight w:val="1195"/>
          <w:tblHeader/>
        </w:trPr>
        <w:tc>
          <w:tcPr>
            <w:tcW w:w="993" w:type="dxa"/>
            <w:shd w:val="clear" w:color="000000" w:fill="D0CECE"/>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b/>
                <w:bCs/>
                <w:color w:val="000000"/>
                <w:sz w:val="16"/>
                <w:szCs w:val="16"/>
                <w:lang w:eastAsia="es-CO"/>
              </w:rPr>
              <w:t>Autor(es)</w:t>
            </w:r>
          </w:p>
        </w:tc>
        <w:tc>
          <w:tcPr>
            <w:tcW w:w="272" w:type="dxa"/>
            <w:shd w:val="clear" w:color="000000" w:fill="D0CECE"/>
            <w:textDirection w:val="btLr"/>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cantidad  grupos</w:t>
            </w:r>
          </w:p>
        </w:tc>
        <w:tc>
          <w:tcPr>
            <w:tcW w:w="477" w:type="dxa"/>
            <w:shd w:val="clear" w:color="000000" w:fill="D0CECE"/>
            <w:textDirection w:val="btLr"/>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Cantidad de mediciones</w:t>
            </w:r>
          </w:p>
        </w:tc>
        <w:tc>
          <w:tcPr>
            <w:tcW w:w="2219" w:type="dxa"/>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Instrumentos de recolección de información</w:t>
            </w:r>
          </w:p>
        </w:tc>
        <w:tc>
          <w:tcPr>
            <w:tcW w:w="1134" w:type="dxa"/>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Validación de instrumentos</w:t>
            </w:r>
          </w:p>
        </w:tc>
        <w:tc>
          <w:tcPr>
            <w:tcW w:w="992" w:type="dxa"/>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Tipo de análisis</w:t>
            </w:r>
          </w:p>
        </w:tc>
        <w:tc>
          <w:tcPr>
            <w:tcW w:w="851" w:type="dxa"/>
            <w:shd w:val="clear" w:color="000000" w:fill="D0CECE"/>
            <w:textDirection w:val="btLr"/>
            <w:vAlign w:val="center"/>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Tiempo de intervención</w:t>
            </w:r>
          </w:p>
        </w:tc>
        <w:tc>
          <w:tcPr>
            <w:tcW w:w="2410" w:type="dxa"/>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Resultados</w:t>
            </w:r>
          </w:p>
        </w:tc>
      </w:tr>
      <w:tr w:rsidR="006718A0" w:rsidRPr="005B2B78" w:rsidTr="00FC2EE7">
        <w:trPr>
          <w:trHeight w:val="809"/>
        </w:trPr>
        <w:tc>
          <w:tcPr>
            <w:tcW w:w="993" w:type="dxa"/>
            <w:vMerge w:val="restart"/>
            <w:vAlign w:val="center"/>
          </w:tcPr>
          <w:p w:rsidR="006718A0" w:rsidRPr="005B2B78" w:rsidRDefault="006718A0" w:rsidP="00FC2EE7">
            <w:pPr>
              <w:spacing w:after="0" w:line="216" w:lineRule="auto"/>
              <w:rPr>
                <w:rFonts w:eastAsia="Times New Roman" w:cs="Times New Roman"/>
                <w:color w:val="000000"/>
                <w:sz w:val="16"/>
                <w:szCs w:val="16"/>
                <w:lang w:val="en-US" w:eastAsia="es-CO"/>
              </w:rPr>
            </w:pPr>
            <w:r w:rsidRPr="005B2B78">
              <w:rPr>
                <w:rFonts w:eastAsia="Times New Roman" w:cs="Times New Roman"/>
                <w:color w:val="000000"/>
                <w:sz w:val="16"/>
                <w:szCs w:val="16"/>
                <w:lang w:val="en-US" w:eastAsia="es-CO"/>
              </w:rPr>
              <w:t>Özyurt, et al. (2013)</w:t>
            </w:r>
          </w:p>
          <w:p w:rsidR="006718A0" w:rsidRPr="005B2B78" w:rsidRDefault="006718A0" w:rsidP="00FC2EE7">
            <w:pPr>
              <w:spacing w:after="0" w:line="216" w:lineRule="auto"/>
              <w:rPr>
                <w:rFonts w:eastAsia="Times New Roman" w:cs="Times New Roman"/>
                <w:color w:val="000000"/>
                <w:sz w:val="16"/>
                <w:szCs w:val="16"/>
                <w:lang w:val="en-US" w:eastAsia="es-CO"/>
              </w:rPr>
            </w:pPr>
          </w:p>
        </w:tc>
        <w:tc>
          <w:tcPr>
            <w:tcW w:w="272" w:type="dxa"/>
            <w:vMerge w:val="restart"/>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477" w:type="dxa"/>
            <w:vMerge w:val="restart"/>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2219"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Escala tipo Likert (13 ítems) / Actitudes del estudiante sobre cómo percibe el proceso de aprendizaje.</w:t>
            </w:r>
          </w:p>
        </w:tc>
        <w:tc>
          <w:tcPr>
            <w:tcW w:w="1134"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Se basa en un marco teórico. Validación con expertos.</w:t>
            </w:r>
            <w:r w:rsidRPr="005B2B78">
              <w:rPr>
                <w:rFonts w:eastAsia="Times New Roman" w:cs="Times New Roman"/>
                <w:color w:val="000000"/>
                <w:sz w:val="16"/>
                <w:szCs w:val="16"/>
                <w:lang w:eastAsia="es-CO"/>
              </w:rPr>
              <w:br/>
            </w:r>
            <w:proofErr w:type="spellStart"/>
            <w:r w:rsidRPr="005B2B78">
              <w:rPr>
                <w:rFonts w:eastAsia="Times New Roman" w:cs="Times New Roman"/>
                <w:color w:val="000000"/>
                <w:sz w:val="16"/>
                <w:szCs w:val="16"/>
                <w:lang w:eastAsia="es-CO"/>
              </w:rPr>
              <w:t>Cronbach</w:t>
            </w:r>
            <w:proofErr w:type="spellEnd"/>
            <w:r w:rsidRPr="005B2B78">
              <w:rPr>
                <w:rFonts w:eastAsia="Times New Roman" w:cs="Times New Roman"/>
                <w:color w:val="000000"/>
                <w:sz w:val="16"/>
                <w:szCs w:val="16"/>
                <w:lang w:eastAsia="es-CO"/>
              </w:rPr>
              <w:t xml:space="preserve"> Alpha  .913.</w:t>
            </w:r>
          </w:p>
        </w:tc>
        <w:tc>
          <w:tcPr>
            <w:tcW w:w="992"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Análisis de medias, frecuencias y porcentajes.</w:t>
            </w:r>
          </w:p>
        </w:tc>
        <w:tc>
          <w:tcPr>
            <w:tcW w:w="851" w:type="dxa"/>
            <w:vMerge w:val="restart"/>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8 semanas. </w:t>
            </w:r>
            <w:r w:rsidRPr="005B2B78">
              <w:rPr>
                <w:rFonts w:eastAsia="Times New Roman" w:cs="Times New Roman"/>
                <w:color w:val="000000"/>
                <w:sz w:val="16"/>
                <w:szCs w:val="16"/>
                <w:lang w:eastAsia="es-CO"/>
              </w:rPr>
              <w:br/>
              <w:t>4 horas por semana.</w:t>
            </w:r>
          </w:p>
        </w:tc>
        <w:tc>
          <w:tcPr>
            <w:tcW w:w="2410" w:type="dxa"/>
            <w:vMerge w:val="restart"/>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*Opiniones positivas frente al sistema.</w:t>
            </w:r>
            <w:r w:rsidRPr="005B2B78">
              <w:rPr>
                <w:rFonts w:eastAsia="Times New Roman" w:cs="Times New Roman"/>
                <w:color w:val="000000"/>
                <w:sz w:val="16"/>
                <w:szCs w:val="16"/>
                <w:lang w:eastAsia="es-CO"/>
              </w:rPr>
              <w:br/>
              <w:t xml:space="preserve">*Los estudiantes se encuentran satisfechos al estudiar con el sistema acorde a sus estilos de aprendizaje. </w:t>
            </w:r>
          </w:p>
        </w:tc>
      </w:tr>
      <w:tr w:rsidR="006718A0" w:rsidRPr="005B2B78" w:rsidTr="00FC2EE7">
        <w:trPr>
          <w:trHeight w:val="582"/>
        </w:trPr>
        <w:tc>
          <w:tcPr>
            <w:tcW w:w="993" w:type="dxa"/>
            <w:vMerge/>
            <w:vAlign w:val="center"/>
          </w:tcPr>
          <w:p w:rsidR="006718A0" w:rsidRPr="005B2B78" w:rsidRDefault="006718A0" w:rsidP="00FC2EE7">
            <w:pPr>
              <w:spacing w:after="0" w:line="216" w:lineRule="auto"/>
              <w:rPr>
                <w:rFonts w:eastAsia="Times New Roman" w:cs="Times New Roman"/>
                <w:color w:val="000000"/>
                <w:sz w:val="16"/>
                <w:szCs w:val="16"/>
                <w:lang w:eastAsia="es-CO"/>
              </w:rPr>
            </w:pPr>
          </w:p>
        </w:tc>
        <w:tc>
          <w:tcPr>
            <w:tcW w:w="272" w:type="dxa"/>
            <w:vMerge/>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477" w:type="dxa"/>
            <w:vMerge/>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2219"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Entrevista guiada semiestructurada (10 preguntas) / Opiniones sobre el ambiente.</w:t>
            </w:r>
          </w:p>
        </w:tc>
        <w:tc>
          <w:tcPr>
            <w:tcW w:w="1134"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color w:val="000000"/>
                <w:sz w:val="16"/>
                <w:szCs w:val="16"/>
              </w:rPr>
              <w:t>No informa</w:t>
            </w:r>
          </w:p>
        </w:tc>
        <w:tc>
          <w:tcPr>
            <w:tcW w:w="992"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Frecuencia de respuestas.</w:t>
            </w:r>
          </w:p>
        </w:tc>
        <w:tc>
          <w:tcPr>
            <w:tcW w:w="851" w:type="dxa"/>
            <w:vMerge/>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p>
        </w:tc>
        <w:tc>
          <w:tcPr>
            <w:tcW w:w="2410" w:type="dxa"/>
            <w:vMerge/>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r>
      <w:tr w:rsidR="006718A0" w:rsidRPr="005B2B78" w:rsidTr="00FC2EE7">
        <w:trPr>
          <w:trHeight w:val="1160"/>
        </w:trPr>
        <w:tc>
          <w:tcPr>
            <w:tcW w:w="993" w:type="dxa"/>
            <w:vAlign w:val="center"/>
          </w:tcPr>
          <w:p w:rsidR="006718A0" w:rsidRPr="005B2B78" w:rsidRDefault="006718A0" w:rsidP="00FC2EE7">
            <w:pPr>
              <w:spacing w:after="0" w:line="216" w:lineRule="auto"/>
              <w:rPr>
                <w:rFonts w:eastAsia="Times New Roman" w:cs="Times New Roman"/>
                <w:color w:val="000000"/>
                <w:sz w:val="16"/>
                <w:szCs w:val="16"/>
                <w:lang w:val="en-US" w:eastAsia="es-CO"/>
              </w:rPr>
            </w:pPr>
            <w:r w:rsidRPr="005B2B78">
              <w:rPr>
                <w:rFonts w:eastAsia="Times New Roman" w:cs="Times New Roman"/>
                <w:color w:val="000000"/>
                <w:sz w:val="16"/>
                <w:szCs w:val="16"/>
                <w:lang w:val="en-US" w:eastAsia="es-CO"/>
              </w:rPr>
              <w:lastRenderedPageBreak/>
              <w:t>Filippidis &amp; Tsoukalas (2009)</w:t>
            </w:r>
          </w:p>
        </w:tc>
        <w:tc>
          <w:tcPr>
            <w:tcW w:w="272"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477"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2219"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*Cuestionario USE (</w:t>
            </w:r>
            <w:proofErr w:type="spellStart"/>
            <w:r w:rsidRPr="005B2B78">
              <w:rPr>
                <w:rFonts w:eastAsia="Times New Roman" w:cs="Times New Roman"/>
                <w:color w:val="000000"/>
                <w:sz w:val="16"/>
                <w:szCs w:val="16"/>
                <w:lang w:eastAsia="es-CO"/>
              </w:rPr>
              <w:t>Lund</w:t>
            </w:r>
            <w:proofErr w:type="spellEnd"/>
            <w:r w:rsidRPr="005B2B78">
              <w:rPr>
                <w:rFonts w:eastAsia="Times New Roman" w:cs="Times New Roman"/>
                <w:color w:val="000000"/>
                <w:sz w:val="16"/>
                <w:szCs w:val="16"/>
                <w:lang w:eastAsia="es-CO"/>
              </w:rPr>
              <w:t>, 2001). Escala Likert (7 opciones). Mide: utilidad, facilidad de uso, facilidad de aprendizaje, y la satisfacción. / Punto de vista de los estudiantes.</w:t>
            </w:r>
          </w:p>
        </w:tc>
        <w:tc>
          <w:tcPr>
            <w:tcW w:w="1134"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color w:val="000000"/>
                <w:sz w:val="16"/>
                <w:szCs w:val="16"/>
              </w:rPr>
              <w:t>No informa</w:t>
            </w:r>
          </w:p>
        </w:tc>
        <w:tc>
          <w:tcPr>
            <w:tcW w:w="992"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Mínimo, máximo, media y desviación estándar.</w:t>
            </w:r>
          </w:p>
        </w:tc>
        <w:tc>
          <w:tcPr>
            <w:tcW w:w="851" w:type="dxa"/>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color w:val="000000"/>
                <w:sz w:val="16"/>
                <w:szCs w:val="16"/>
              </w:rPr>
              <w:t>No informa</w:t>
            </w:r>
          </w:p>
        </w:tc>
        <w:tc>
          <w:tcPr>
            <w:tcW w:w="2410"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*Los estudiantes se mostraron de acuerdo con las categorías de la escala con más de un 70%.</w:t>
            </w:r>
            <w:r w:rsidRPr="005B2B78">
              <w:rPr>
                <w:rFonts w:eastAsia="Times New Roman" w:cs="Times New Roman"/>
                <w:color w:val="000000"/>
                <w:sz w:val="16"/>
                <w:szCs w:val="16"/>
                <w:lang w:eastAsia="es-CO"/>
              </w:rPr>
              <w:br/>
              <w:t>*Los estudiantes encontraron el sistema de enseñanza útil, fácil de usar, fácil de aprender, y satisfactorio.</w:t>
            </w:r>
          </w:p>
        </w:tc>
      </w:tr>
      <w:tr w:rsidR="006718A0" w:rsidRPr="005B2B78" w:rsidTr="00FC2EE7">
        <w:trPr>
          <w:trHeight w:val="897"/>
        </w:trPr>
        <w:tc>
          <w:tcPr>
            <w:tcW w:w="993" w:type="dxa"/>
            <w:vAlign w:val="center"/>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Schiaffino, et al. (2008)</w:t>
            </w:r>
          </w:p>
        </w:tc>
        <w:tc>
          <w:tcPr>
            <w:tcW w:w="272"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477"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2219"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*Cuestionario. / Opinión sobre la interfaz y tipo de mensajes.</w:t>
            </w:r>
            <w:r w:rsidRPr="005B2B78">
              <w:rPr>
                <w:rFonts w:eastAsia="Times New Roman" w:cs="Times New Roman"/>
                <w:color w:val="000000"/>
                <w:sz w:val="16"/>
                <w:szCs w:val="16"/>
                <w:lang w:eastAsia="es-CO"/>
              </w:rPr>
              <w:br/>
              <w:t>*Archivos de registro. / Tipo de asistencia registrada y acciones del estudiante en el sistema.</w:t>
            </w:r>
          </w:p>
        </w:tc>
        <w:tc>
          <w:tcPr>
            <w:tcW w:w="1134"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color w:val="000000"/>
                <w:sz w:val="16"/>
                <w:szCs w:val="16"/>
              </w:rPr>
              <w:t>No informa</w:t>
            </w:r>
          </w:p>
        </w:tc>
        <w:tc>
          <w:tcPr>
            <w:tcW w:w="992"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Análisis de frecuencias.</w:t>
            </w:r>
          </w:p>
        </w:tc>
        <w:tc>
          <w:tcPr>
            <w:tcW w:w="851" w:type="dxa"/>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color w:val="000000"/>
                <w:sz w:val="16"/>
                <w:szCs w:val="16"/>
              </w:rPr>
              <w:t>No informa</w:t>
            </w:r>
          </w:p>
        </w:tc>
        <w:tc>
          <w:tcPr>
            <w:tcW w:w="2410"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*La precisión de asistencia y el desempeño de e-</w:t>
            </w:r>
            <w:proofErr w:type="spellStart"/>
            <w:r w:rsidRPr="005B2B78">
              <w:rPr>
                <w:rFonts w:eastAsia="Times New Roman" w:cs="Times New Roman"/>
                <w:color w:val="000000"/>
                <w:sz w:val="16"/>
                <w:szCs w:val="16"/>
                <w:lang w:eastAsia="es-CO"/>
              </w:rPr>
              <w:t>teacher</w:t>
            </w:r>
            <w:proofErr w:type="spellEnd"/>
            <w:r w:rsidRPr="005B2B78">
              <w:rPr>
                <w:rFonts w:eastAsia="Times New Roman" w:cs="Times New Roman"/>
                <w:color w:val="000000"/>
                <w:sz w:val="16"/>
                <w:szCs w:val="16"/>
                <w:lang w:eastAsia="es-CO"/>
              </w:rPr>
              <w:t xml:space="preserve"> bastante bueno.</w:t>
            </w:r>
            <w:r w:rsidRPr="005B2B78">
              <w:rPr>
                <w:rFonts w:eastAsia="Times New Roman" w:cs="Times New Roman"/>
                <w:color w:val="000000"/>
                <w:sz w:val="16"/>
                <w:szCs w:val="16"/>
                <w:lang w:eastAsia="es-CO"/>
              </w:rPr>
              <w:br/>
              <w:t>*La mayoría de los estudiantes considera la interfaz adecuada y útil.</w:t>
            </w:r>
          </w:p>
        </w:tc>
      </w:tr>
      <w:tr w:rsidR="006718A0" w:rsidRPr="005B2B78" w:rsidTr="00FC2EE7">
        <w:trPr>
          <w:trHeight w:val="670"/>
        </w:trPr>
        <w:tc>
          <w:tcPr>
            <w:tcW w:w="993" w:type="dxa"/>
            <w:vAlign w:val="center"/>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Popescu, (2010).</w:t>
            </w:r>
          </w:p>
        </w:tc>
        <w:tc>
          <w:tcPr>
            <w:tcW w:w="272"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477"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2219"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*Cuestionario. / Opinión del curso, rutas de aprendizaje tomadas, eficiencia de la adaptación, grado de satisfacción, etc.</w:t>
            </w:r>
          </w:p>
        </w:tc>
        <w:tc>
          <w:tcPr>
            <w:tcW w:w="1134" w:type="dxa"/>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color w:val="000000"/>
                <w:sz w:val="16"/>
                <w:szCs w:val="16"/>
              </w:rPr>
              <w:t>No informa</w:t>
            </w:r>
          </w:p>
        </w:tc>
        <w:tc>
          <w:tcPr>
            <w:tcW w:w="992" w:type="dxa"/>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Análisis de medias y U-test Mann–Whitney </w:t>
            </w:r>
          </w:p>
        </w:tc>
        <w:tc>
          <w:tcPr>
            <w:tcW w:w="851" w:type="dxa"/>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4 horas</w:t>
            </w:r>
          </w:p>
        </w:tc>
        <w:tc>
          <w:tcPr>
            <w:tcW w:w="2410" w:type="dxa"/>
            <w:shd w:val="clear" w:color="auto" w:fill="auto"/>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*Aumento de la satisfacción  (ganancia de aprendizaje, eficiencia, esfuerzo de aprendizaje y motivación) de los estudiantes en el ambiente coincidente.</w:t>
            </w:r>
          </w:p>
        </w:tc>
      </w:tr>
    </w:tbl>
    <w:p w:rsidR="006718A0" w:rsidRPr="005B2B78" w:rsidRDefault="006718A0" w:rsidP="006718A0">
      <w:pPr>
        <w:spacing w:after="0"/>
        <w:rPr>
          <w:rFonts w:cs="Times New Roman"/>
          <w:b/>
          <w:color w:val="262626" w:themeColor="text1" w:themeTint="D9"/>
          <w:szCs w:val="24"/>
          <w:lang w:eastAsia="es-ES_tradnl"/>
        </w:rPr>
      </w:pPr>
    </w:p>
    <w:p w:rsidR="006718A0" w:rsidRPr="005B2B78" w:rsidRDefault="006718A0" w:rsidP="006718A0">
      <w:pPr>
        <w:spacing w:after="0"/>
        <w:rPr>
          <w:rFonts w:cs="Times New Roman"/>
          <w:b/>
          <w:color w:val="262626" w:themeColor="text1" w:themeTint="D9"/>
          <w:szCs w:val="24"/>
          <w:lang w:eastAsia="es-ES_tradnl"/>
        </w:rPr>
      </w:pPr>
      <w:r w:rsidRPr="005B2B78">
        <w:rPr>
          <w:rFonts w:cs="Times New Roman"/>
          <w:b/>
          <w:color w:val="262626" w:themeColor="text1" w:themeTint="D9"/>
          <w:szCs w:val="24"/>
          <w:lang w:eastAsia="es-ES_tradnl"/>
        </w:rPr>
        <w:t>Anexo 3.</w:t>
      </w:r>
    </w:p>
    <w:p w:rsidR="006718A0" w:rsidRPr="005B2B78" w:rsidRDefault="006718A0" w:rsidP="006718A0">
      <w:pPr>
        <w:spacing w:after="0" w:line="240" w:lineRule="auto"/>
        <w:jc w:val="center"/>
        <w:rPr>
          <w:rFonts w:cs="Times New Roman"/>
          <w:b/>
          <w:color w:val="262626" w:themeColor="text1" w:themeTint="D9"/>
          <w:sz w:val="20"/>
          <w:szCs w:val="24"/>
        </w:rPr>
      </w:pPr>
      <w:r w:rsidRPr="005B2B78">
        <w:rPr>
          <w:rFonts w:cs="Times New Roman"/>
          <w:b/>
          <w:color w:val="262626" w:themeColor="text1" w:themeTint="D9"/>
          <w:szCs w:val="24"/>
        </w:rPr>
        <w:t>Tabla. Estudios sobre eficacia de los AEDP en el logro de aprendizaje de los estudiantes y la percepción de los estudiantes hacia los AEDP.</w:t>
      </w:r>
    </w:p>
    <w:p w:rsidR="006718A0" w:rsidRPr="005B2B78" w:rsidRDefault="006718A0" w:rsidP="006718A0">
      <w:pPr>
        <w:spacing w:after="0" w:line="240" w:lineRule="auto"/>
        <w:jc w:val="center"/>
        <w:rPr>
          <w:rFonts w:cs="Times New Roman"/>
          <w:b/>
          <w:color w:val="262626" w:themeColor="text1" w:themeTint="D9"/>
          <w:szCs w:val="24"/>
        </w:rPr>
      </w:pPr>
    </w:p>
    <w:p w:rsidR="006718A0" w:rsidRPr="005B2B78" w:rsidRDefault="006718A0" w:rsidP="006718A0">
      <w:pPr>
        <w:spacing w:after="0"/>
        <w:rPr>
          <w:rFonts w:cs="Times New Roman"/>
          <w:color w:val="262626" w:themeColor="text1" w:themeTint="D9"/>
          <w:szCs w:val="24"/>
        </w:rPr>
      </w:pPr>
      <w:r w:rsidRPr="005B2B78">
        <w:rPr>
          <w:rFonts w:cs="Times New Roman"/>
          <w:color w:val="262626" w:themeColor="text1" w:themeTint="D9"/>
          <w:szCs w:val="24"/>
        </w:rPr>
        <w:t xml:space="preserve">En cada columna se indica: a) los autores, b) la cantidad de grupos tenidos en cuenta para el análisis de datos, c) la cantidad de mediciones realizadas en la intervención con estudiantes, d) los instrumentos de recolección de información empleados, e) la validación efectuada a los instrumentos de recolección de información, f) el tipo de análisis estadístico efectuado, g) la duración de la intervención educativa, y g) los resultados.  </w:t>
      </w:r>
    </w:p>
    <w:p w:rsidR="006718A0" w:rsidRPr="005B2B78" w:rsidRDefault="006718A0" w:rsidP="006718A0">
      <w:pPr>
        <w:spacing w:after="0"/>
        <w:rPr>
          <w:rFonts w:cs="Times New Roman"/>
          <w:b/>
          <w:color w:val="262626" w:themeColor="text1" w:themeTint="D9"/>
          <w:szCs w:val="24"/>
          <w:lang w:eastAsia="es-ES_tradnl"/>
        </w:rPr>
      </w:pPr>
    </w:p>
    <w:tbl>
      <w:tblPr>
        <w:tblW w:w="9281" w:type="dxa"/>
        <w:tblInd w:w="70" w:type="dxa"/>
        <w:tblLayout w:type="fixed"/>
        <w:tblCellMar>
          <w:left w:w="70" w:type="dxa"/>
          <w:right w:w="70" w:type="dxa"/>
        </w:tblCellMar>
        <w:tblLook w:val="04A0" w:firstRow="1" w:lastRow="0" w:firstColumn="1" w:lastColumn="0" w:noHBand="0" w:noVBand="1"/>
      </w:tblPr>
      <w:tblGrid>
        <w:gridCol w:w="851"/>
        <w:gridCol w:w="350"/>
        <w:gridCol w:w="500"/>
        <w:gridCol w:w="1910"/>
        <w:gridCol w:w="1276"/>
        <w:gridCol w:w="1275"/>
        <w:gridCol w:w="709"/>
        <w:gridCol w:w="2410"/>
      </w:tblGrid>
      <w:tr w:rsidR="006718A0" w:rsidRPr="005B2B78" w:rsidTr="00FC2EE7">
        <w:trPr>
          <w:cantSplit/>
          <w:trHeight w:val="1337"/>
          <w:tblHeader/>
        </w:trPr>
        <w:tc>
          <w:tcPr>
            <w:tcW w:w="851"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Autor(es)</w:t>
            </w:r>
          </w:p>
        </w:tc>
        <w:tc>
          <w:tcPr>
            <w:tcW w:w="350" w:type="dxa"/>
            <w:tcBorders>
              <w:top w:val="single" w:sz="4" w:space="0" w:color="auto"/>
              <w:left w:val="nil"/>
              <w:bottom w:val="single" w:sz="4" w:space="0" w:color="auto"/>
              <w:right w:val="single" w:sz="4" w:space="0" w:color="auto"/>
            </w:tcBorders>
            <w:shd w:val="clear" w:color="000000" w:fill="D0CECE"/>
            <w:textDirection w:val="btLr"/>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cantidad  grupos</w:t>
            </w:r>
          </w:p>
        </w:tc>
        <w:tc>
          <w:tcPr>
            <w:tcW w:w="500" w:type="dxa"/>
            <w:tcBorders>
              <w:top w:val="single" w:sz="4" w:space="0" w:color="auto"/>
              <w:left w:val="nil"/>
              <w:bottom w:val="single" w:sz="4" w:space="0" w:color="auto"/>
              <w:right w:val="single" w:sz="4" w:space="0" w:color="auto"/>
            </w:tcBorders>
            <w:shd w:val="clear" w:color="000000" w:fill="D0CECE"/>
            <w:textDirection w:val="btLr"/>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Cantidad de mediciones</w:t>
            </w:r>
          </w:p>
        </w:tc>
        <w:tc>
          <w:tcPr>
            <w:tcW w:w="1910" w:type="dxa"/>
            <w:tcBorders>
              <w:top w:val="single" w:sz="4" w:space="0" w:color="auto"/>
              <w:left w:val="nil"/>
              <w:bottom w:val="single" w:sz="4" w:space="0" w:color="auto"/>
              <w:right w:val="single" w:sz="4" w:space="0" w:color="auto"/>
            </w:tcBorders>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Instrumentos de recolección de información</w:t>
            </w:r>
          </w:p>
        </w:tc>
        <w:tc>
          <w:tcPr>
            <w:tcW w:w="1276" w:type="dxa"/>
            <w:tcBorders>
              <w:top w:val="single" w:sz="4" w:space="0" w:color="auto"/>
              <w:left w:val="nil"/>
              <w:bottom w:val="single" w:sz="4" w:space="0" w:color="auto"/>
              <w:right w:val="single" w:sz="4" w:space="0" w:color="auto"/>
            </w:tcBorders>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Validación de instrumentos</w:t>
            </w:r>
          </w:p>
        </w:tc>
        <w:tc>
          <w:tcPr>
            <w:tcW w:w="1275" w:type="dxa"/>
            <w:tcBorders>
              <w:top w:val="single" w:sz="4" w:space="0" w:color="auto"/>
              <w:left w:val="nil"/>
              <w:bottom w:val="single" w:sz="4" w:space="0" w:color="auto"/>
              <w:right w:val="single" w:sz="4" w:space="0" w:color="auto"/>
            </w:tcBorders>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Tipo de análisis</w:t>
            </w:r>
          </w:p>
        </w:tc>
        <w:tc>
          <w:tcPr>
            <w:tcW w:w="709" w:type="dxa"/>
            <w:tcBorders>
              <w:top w:val="single" w:sz="4" w:space="0" w:color="auto"/>
              <w:left w:val="nil"/>
              <w:bottom w:val="single" w:sz="4" w:space="0" w:color="auto"/>
              <w:right w:val="single" w:sz="4" w:space="0" w:color="auto"/>
            </w:tcBorders>
            <w:shd w:val="clear" w:color="000000" w:fill="D0CECE"/>
            <w:textDirection w:val="btLr"/>
            <w:vAlign w:val="center"/>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Tiempo de intervención</w:t>
            </w:r>
          </w:p>
        </w:tc>
        <w:tc>
          <w:tcPr>
            <w:tcW w:w="2410"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6718A0" w:rsidRPr="005B2B78" w:rsidRDefault="006718A0" w:rsidP="00FC2EE7">
            <w:pPr>
              <w:spacing w:after="0" w:line="216" w:lineRule="auto"/>
              <w:jc w:val="center"/>
              <w:rPr>
                <w:rFonts w:eastAsia="Times New Roman" w:cs="Times New Roman"/>
                <w:b/>
                <w:bCs/>
                <w:color w:val="000000"/>
                <w:sz w:val="16"/>
                <w:szCs w:val="16"/>
                <w:lang w:eastAsia="es-CO"/>
              </w:rPr>
            </w:pPr>
            <w:r w:rsidRPr="005B2B78">
              <w:rPr>
                <w:rFonts w:eastAsia="Times New Roman" w:cs="Times New Roman"/>
                <w:b/>
                <w:bCs/>
                <w:color w:val="000000"/>
                <w:sz w:val="16"/>
                <w:szCs w:val="16"/>
                <w:lang w:eastAsia="es-CO"/>
              </w:rPr>
              <w:t>Resultados</w:t>
            </w:r>
          </w:p>
        </w:tc>
      </w:tr>
      <w:tr w:rsidR="006718A0" w:rsidRPr="005B2B78" w:rsidTr="00FC2EE7">
        <w:trPr>
          <w:trHeight w:val="742"/>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Chookaew, et al.  (2014)</w:t>
            </w:r>
          </w:p>
        </w:tc>
        <w:tc>
          <w:tcPr>
            <w:tcW w:w="350"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pretest y un postest de conocimientos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Medias y valor de ganancia normalizada</w:t>
            </w:r>
          </w:p>
        </w:tc>
        <w:tc>
          <w:tcPr>
            <w:tcW w:w="709"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ambiente personalizado en relación a los problemas de aprendizaje, estilos de aprendizaje y el logro de aprendizaje mejora la comprensión logro de aprendizaje.</w:t>
            </w:r>
          </w:p>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*Los estudiantes tienen una actitud positiva hacia el ambiente.</w:t>
            </w:r>
          </w:p>
        </w:tc>
      </w:tr>
      <w:tr w:rsidR="006718A0" w:rsidRPr="005B2B78" w:rsidTr="00FC2EE7">
        <w:trPr>
          <w:trHeight w:val="503"/>
        </w:trPr>
        <w:tc>
          <w:tcPr>
            <w:tcW w:w="851"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350"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Entrevista semiestructurada </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1275"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709"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rPr>
                <w:rFonts w:eastAsia="Times New Roman" w:cs="Times New Roman"/>
                <w:color w:val="000000"/>
                <w:sz w:val="16"/>
                <w:szCs w:val="16"/>
                <w:lang w:eastAsia="es-C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r>
      <w:tr w:rsidR="006718A0" w:rsidRPr="005B2B78" w:rsidTr="00FC2EE7">
        <w:trPr>
          <w:trHeight w:val="682"/>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Marković, et al. (2013)</w:t>
            </w:r>
          </w:p>
        </w:tc>
        <w:tc>
          <w:tcPr>
            <w:tcW w:w="350"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postest de conocimientos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1275"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Medias, desviación y prueba t</w:t>
            </w:r>
          </w:p>
        </w:tc>
        <w:tc>
          <w:tcPr>
            <w:tcW w:w="709"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Uso del sistema por pocos meses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*No hay resultados significativos en la eficacia. Aunque en la diferencia de medias hay ganancias de aprendizaje.</w:t>
            </w:r>
            <w:r w:rsidRPr="005B2B78">
              <w:rPr>
                <w:rFonts w:eastAsia="Times New Roman" w:cs="Times New Roman"/>
                <w:color w:val="000000"/>
                <w:sz w:val="16"/>
                <w:szCs w:val="16"/>
                <w:lang w:eastAsia="es-CO"/>
              </w:rPr>
              <w:br/>
              <w:t>*A La mayoría de los estudiantes les agrado las características gráficas y la usabilidad. Hay incremento de la satisfacción.</w:t>
            </w:r>
          </w:p>
        </w:tc>
      </w:tr>
      <w:tr w:rsidR="006718A0" w:rsidRPr="005B2B78" w:rsidTr="00FC2EE7">
        <w:trPr>
          <w:trHeight w:val="693"/>
        </w:trPr>
        <w:tc>
          <w:tcPr>
            <w:tcW w:w="851"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350"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Cuestionario (experiencia de e-</w:t>
            </w:r>
            <w:proofErr w:type="spellStart"/>
            <w:r w:rsidRPr="005B2B78">
              <w:rPr>
                <w:rFonts w:eastAsia="Times New Roman" w:cs="Times New Roman"/>
                <w:color w:val="000000"/>
                <w:sz w:val="16"/>
                <w:szCs w:val="16"/>
                <w:lang w:eastAsia="es-CO"/>
              </w:rPr>
              <w:t>learning</w:t>
            </w:r>
            <w:proofErr w:type="spellEnd"/>
            <w:r w:rsidRPr="005B2B78">
              <w:rPr>
                <w:rFonts w:eastAsia="Times New Roman" w:cs="Times New Roman"/>
                <w:color w:val="000000"/>
                <w:sz w:val="16"/>
                <w:szCs w:val="16"/>
                <w:lang w:eastAsia="es-CO"/>
              </w:rPr>
              <w:t>, y las actitudes hacia el sistema).</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1275"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Medias</w:t>
            </w:r>
          </w:p>
        </w:tc>
        <w:tc>
          <w:tcPr>
            <w:tcW w:w="709"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rPr>
                <w:rFonts w:eastAsia="Times New Roman" w:cs="Times New Roman"/>
                <w:color w:val="000000"/>
                <w:sz w:val="16"/>
                <w:szCs w:val="16"/>
                <w:lang w:eastAsia="es-C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r>
      <w:tr w:rsidR="006718A0" w:rsidRPr="005B2B78" w:rsidTr="00FC2EE7">
        <w:trPr>
          <w:trHeight w:val="67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val="en-US" w:eastAsia="es-CO"/>
              </w:rPr>
            </w:pPr>
            <w:r w:rsidRPr="005B2B78">
              <w:rPr>
                <w:rFonts w:eastAsia="Times New Roman" w:cs="Times New Roman"/>
                <w:color w:val="000000"/>
                <w:sz w:val="16"/>
                <w:szCs w:val="16"/>
                <w:lang w:val="en-US" w:eastAsia="es-CO"/>
              </w:rPr>
              <w:lastRenderedPageBreak/>
              <w:t>Mampadi, et al. (2011)</w:t>
            </w:r>
          </w:p>
        </w:tc>
        <w:tc>
          <w:tcPr>
            <w:tcW w:w="350"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pretest y un postest de conocimientos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El índice de dificultad.</w:t>
            </w:r>
            <w:r w:rsidRPr="005B2B78">
              <w:rPr>
                <w:rFonts w:eastAsia="Times New Roman" w:cs="Times New Roman"/>
                <w:color w:val="000000"/>
                <w:sz w:val="16"/>
                <w:szCs w:val="16"/>
                <w:lang w:eastAsia="es-CO"/>
              </w:rPr>
              <w:br/>
              <w:t>Fiabilidad -coeficiente alfa.</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Medias, ganancia de aprendizaje y prueba T</w:t>
            </w:r>
          </w:p>
        </w:tc>
        <w:tc>
          <w:tcPr>
            <w:tcW w:w="709"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*Mejora en el logro de aprendizaje y percepción positiva en los ambientes personalizados en relación al estilo cognitivo.</w:t>
            </w:r>
          </w:p>
        </w:tc>
      </w:tr>
      <w:tr w:rsidR="006718A0" w:rsidRPr="005B2B78" w:rsidTr="00FC2EE7">
        <w:trPr>
          <w:trHeight w:val="279"/>
        </w:trPr>
        <w:tc>
          <w:tcPr>
            <w:tcW w:w="851"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350"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Cuestionario de percepción. Escala tipo Likert. 44 ítems. Categorías: grado de confianza, funcionabilidad y usabilidad, presentación y navegación, y percepciones generales.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Confiabilidad  (α= 0.88)</w:t>
            </w:r>
          </w:p>
        </w:tc>
        <w:tc>
          <w:tcPr>
            <w:tcW w:w="1275" w:type="dxa"/>
            <w:vMerge/>
            <w:tcBorders>
              <w:top w:val="nil"/>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709"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rPr>
                <w:rFonts w:eastAsia="Times New Roman" w:cs="Times New Roman"/>
                <w:color w:val="000000"/>
                <w:sz w:val="16"/>
                <w:szCs w:val="16"/>
                <w:lang w:eastAsia="es-C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r>
      <w:tr w:rsidR="006718A0" w:rsidRPr="005B2B78" w:rsidTr="00FC2EE7">
        <w:trPr>
          <w:trHeight w:val="844"/>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Despotović-Zrakić, et al. (2012)</w:t>
            </w:r>
          </w:p>
        </w:tc>
        <w:tc>
          <w:tcPr>
            <w:tcW w:w="350"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pretest y un postest de conocimientos.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1275" w:type="dxa"/>
            <w:tcBorders>
              <w:top w:val="nil"/>
              <w:left w:val="nil"/>
              <w:bottom w:val="single" w:sz="4" w:space="0" w:color="auto"/>
              <w:right w:val="single" w:sz="4" w:space="0" w:color="auto"/>
            </w:tcBorders>
            <w:shd w:val="clear" w:color="auto" w:fill="auto"/>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*T-test para muestras independientes</w:t>
            </w:r>
            <w:r w:rsidRPr="005B2B78">
              <w:rPr>
                <w:rFonts w:eastAsia="Times New Roman" w:cs="Times New Roman"/>
                <w:color w:val="000000"/>
                <w:sz w:val="16"/>
                <w:szCs w:val="16"/>
                <w:lang w:eastAsia="es-CO"/>
              </w:rPr>
              <w:br/>
              <w:t>*T-test para muestras relacionadas.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curso a distancia adaptado muestra mejores resultados de aprendizaje que un curso no adaptado.</w:t>
            </w:r>
            <w:r w:rsidRPr="005B2B78">
              <w:rPr>
                <w:rFonts w:eastAsia="Times New Roman" w:cs="Times New Roman"/>
                <w:color w:val="000000"/>
                <w:sz w:val="16"/>
                <w:szCs w:val="16"/>
                <w:lang w:eastAsia="es-CO"/>
              </w:rPr>
              <w:br/>
              <w:t>*El estilo de aprendizaje es un factor importante en la adaptación de cursos.</w:t>
            </w:r>
            <w:r w:rsidRPr="005B2B78">
              <w:rPr>
                <w:rFonts w:eastAsia="Times New Roman" w:cs="Times New Roman"/>
                <w:color w:val="000000"/>
                <w:sz w:val="16"/>
                <w:szCs w:val="16"/>
                <w:lang w:eastAsia="es-CO"/>
              </w:rPr>
              <w:br/>
              <w:t>*Los estudiantes muestran actitudes positivas hacia el curso adaptado.</w:t>
            </w:r>
          </w:p>
        </w:tc>
      </w:tr>
      <w:tr w:rsidR="006718A0" w:rsidRPr="005B2B78" w:rsidTr="00FC2EE7">
        <w:trPr>
          <w:trHeight w:val="875"/>
        </w:trPr>
        <w:tc>
          <w:tcPr>
            <w:tcW w:w="851"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350"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Encuesta de satisfacción. Tres preguntas con tres opciones de grado de acuerdo. Actitudes e impresiones sobre el curso adaptativo.</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1275"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Frecuencia de respuestas </w:t>
            </w:r>
          </w:p>
        </w:tc>
        <w:tc>
          <w:tcPr>
            <w:tcW w:w="709" w:type="dxa"/>
            <w:vMerge/>
            <w:tcBorders>
              <w:top w:val="single" w:sz="4" w:space="0" w:color="auto"/>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rPr>
                <w:rFonts w:eastAsia="Times New Roman" w:cs="Times New Roman"/>
                <w:color w:val="000000"/>
                <w:sz w:val="16"/>
                <w:szCs w:val="16"/>
                <w:lang w:eastAsia="es-C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r>
      <w:tr w:rsidR="006718A0" w:rsidRPr="005B2B78" w:rsidTr="00FC2EE7">
        <w:trPr>
          <w:trHeight w:val="703"/>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val="en-US" w:eastAsia="es-CO"/>
              </w:rPr>
            </w:pPr>
            <w:r w:rsidRPr="005B2B78">
              <w:rPr>
                <w:rFonts w:eastAsia="Times New Roman" w:cs="Times New Roman"/>
                <w:color w:val="000000"/>
                <w:sz w:val="16"/>
                <w:szCs w:val="16"/>
                <w:lang w:val="en-US" w:eastAsia="es-CO"/>
              </w:rPr>
              <w:t>Chang, et al. (2016)</w:t>
            </w:r>
          </w:p>
        </w:tc>
        <w:tc>
          <w:tcPr>
            <w:tcW w:w="350"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pretest y un postest de conocimientos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No Informa</w:t>
            </w:r>
          </w:p>
        </w:tc>
        <w:tc>
          <w:tcPr>
            <w:tcW w:w="1275"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T-test para muestras independientes</w:t>
            </w:r>
          </w:p>
        </w:tc>
        <w:tc>
          <w:tcPr>
            <w:tcW w:w="709"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Ocho semanas. Cada semana  tres sesiones de clase.</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*Hay diferencias significativas a favor del grupo experimental en el postest en contraste con el grupo control en ganancia de aprendizaje.</w:t>
            </w:r>
            <w:r w:rsidRPr="005B2B78">
              <w:rPr>
                <w:rFonts w:eastAsia="Times New Roman" w:cs="Times New Roman"/>
                <w:color w:val="000000"/>
                <w:sz w:val="16"/>
                <w:szCs w:val="16"/>
                <w:lang w:eastAsia="es-CO"/>
              </w:rPr>
              <w:br/>
              <w:t>*Los resultados del cuestionario de usabilidad dan sugerencias para mejorar el interés de los estudiantes.</w:t>
            </w:r>
          </w:p>
        </w:tc>
      </w:tr>
      <w:tr w:rsidR="006718A0" w:rsidRPr="005B2B78" w:rsidTr="00FC2EE7">
        <w:trPr>
          <w:trHeight w:val="876"/>
        </w:trPr>
        <w:tc>
          <w:tcPr>
            <w:tcW w:w="851"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350"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Cuestionario de usabilidad. Escala Likert de cinco opciones.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coeficiente de fiabilidad  de </w:t>
            </w:r>
            <w:proofErr w:type="spellStart"/>
            <w:r w:rsidRPr="005B2B78">
              <w:rPr>
                <w:rFonts w:eastAsia="Times New Roman" w:cs="Times New Roman"/>
                <w:color w:val="000000"/>
                <w:sz w:val="16"/>
                <w:szCs w:val="16"/>
                <w:lang w:eastAsia="es-CO"/>
              </w:rPr>
              <w:t>cronbach</w:t>
            </w:r>
            <w:proofErr w:type="spellEnd"/>
            <w:r w:rsidRPr="005B2B78">
              <w:rPr>
                <w:rFonts w:eastAsia="Times New Roman" w:cs="Times New Roman"/>
                <w:color w:val="000000"/>
                <w:sz w:val="16"/>
                <w:szCs w:val="16"/>
                <w:lang w:eastAsia="es-CO"/>
              </w:rPr>
              <w:t>:  0,92 y 0,82</w:t>
            </w:r>
          </w:p>
        </w:tc>
        <w:tc>
          <w:tcPr>
            <w:tcW w:w="1275"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Media y desviación estándar. </w:t>
            </w:r>
          </w:p>
        </w:tc>
        <w:tc>
          <w:tcPr>
            <w:tcW w:w="709" w:type="dxa"/>
            <w:vMerge/>
            <w:tcBorders>
              <w:left w:val="single" w:sz="4" w:space="0" w:color="auto"/>
              <w:bottom w:val="single" w:sz="4" w:space="0" w:color="auto"/>
              <w:right w:val="single" w:sz="4" w:space="0" w:color="auto"/>
            </w:tcBorders>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r>
      <w:tr w:rsidR="006718A0" w:rsidRPr="005B2B78" w:rsidTr="00FC2EE7">
        <w:trPr>
          <w:trHeight w:val="549"/>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val="en-US" w:eastAsia="es-CO"/>
              </w:rPr>
            </w:pPr>
            <w:r w:rsidRPr="005B2B78">
              <w:rPr>
                <w:rFonts w:eastAsia="Times New Roman" w:cs="Times New Roman"/>
                <w:color w:val="000000"/>
                <w:sz w:val="16"/>
                <w:szCs w:val="16"/>
                <w:lang w:val="en-US" w:eastAsia="es-CO"/>
              </w:rPr>
              <w:t>Wang, et al. (2006)</w:t>
            </w:r>
          </w:p>
        </w:tc>
        <w:tc>
          <w:tcPr>
            <w:tcW w:w="350" w:type="dxa"/>
            <w:vMerge w:val="restart"/>
            <w:tcBorders>
              <w:top w:val="nil"/>
              <w:left w:val="single" w:sz="4" w:space="0" w:color="auto"/>
              <w:bottom w:val="single" w:sz="4" w:space="0" w:color="000000"/>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4</w:t>
            </w: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2</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pretest y un postest de conocimientos</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Coeficiente KR-20: pretest= 0.59 y postest=0.28 </w:t>
            </w:r>
          </w:p>
        </w:tc>
        <w:tc>
          <w:tcPr>
            <w:tcW w:w="1275"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ANCOVA</w:t>
            </w:r>
          </w:p>
        </w:tc>
        <w:tc>
          <w:tcPr>
            <w:tcW w:w="709" w:type="dxa"/>
            <w:vMerge w:val="restart"/>
            <w:tcBorders>
              <w:top w:val="single" w:sz="4" w:space="0" w:color="auto"/>
              <w:left w:val="single" w:sz="4" w:space="0" w:color="auto"/>
              <w:right w:val="single" w:sz="4" w:space="0" w:color="auto"/>
            </w:tcBorders>
            <w:vAlign w:val="center"/>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Tres semanas. El estudiante tenía la libertad de interactuar con el sistema cuando quisiera.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*Un grupo interactúa con un ambiente adaptado a los estilos de aprendizaje, otro sin adaptación, a otro grupo se le proporcionan todos los materiales y un último grupo se le da el material no coincidente a sus estilos.</w:t>
            </w:r>
            <w:r w:rsidRPr="005B2B78">
              <w:rPr>
                <w:rFonts w:eastAsia="Times New Roman" w:cs="Times New Roman"/>
                <w:color w:val="000000"/>
                <w:sz w:val="16"/>
                <w:szCs w:val="16"/>
                <w:lang w:eastAsia="es-CO"/>
              </w:rPr>
              <w:br/>
              <w:t>*En la eficacia del aprendizaje los resultados no son concluyentes. Hay un desempeño menor cuando no hay coincidencia estilística.</w:t>
            </w:r>
            <w:r w:rsidRPr="005B2B78">
              <w:rPr>
                <w:rFonts w:eastAsia="Times New Roman" w:cs="Times New Roman"/>
                <w:color w:val="000000"/>
                <w:sz w:val="16"/>
                <w:szCs w:val="16"/>
                <w:lang w:eastAsia="es-CO"/>
              </w:rPr>
              <w:br/>
              <w:t xml:space="preserve">*Los participantes tienen actitud positiva  hacia el sistema.  </w:t>
            </w:r>
          </w:p>
        </w:tc>
      </w:tr>
      <w:tr w:rsidR="006718A0" w:rsidRPr="00C802CD" w:rsidTr="00FC2EE7">
        <w:trPr>
          <w:trHeight w:val="1676"/>
        </w:trPr>
        <w:tc>
          <w:tcPr>
            <w:tcW w:w="851"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350" w:type="dxa"/>
            <w:vMerge/>
            <w:tcBorders>
              <w:top w:val="nil"/>
              <w:left w:val="single" w:sz="4" w:space="0" w:color="auto"/>
              <w:bottom w:val="single" w:sz="4" w:space="0" w:color="000000"/>
              <w:right w:val="single" w:sz="4" w:space="0" w:color="auto"/>
            </w:tcBorders>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p>
        </w:tc>
        <w:tc>
          <w:tcPr>
            <w:tcW w:w="50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jc w:val="center"/>
              <w:rPr>
                <w:rFonts w:eastAsia="Times New Roman" w:cs="Times New Roman"/>
                <w:color w:val="000000"/>
                <w:sz w:val="16"/>
                <w:szCs w:val="16"/>
                <w:lang w:eastAsia="es-CO"/>
              </w:rPr>
            </w:pPr>
            <w:r w:rsidRPr="005B2B78">
              <w:rPr>
                <w:rFonts w:eastAsia="Times New Roman" w:cs="Times New Roman"/>
                <w:color w:val="000000"/>
                <w:sz w:val="16"/>
                <w:szCs w:val="16"/>
                <w:lang w:eastAsia="es-CO"/>
              </w:rPr>
              <w:t>1</w:t>
            </w:r>
          </w:p>
        </w:tc>
        <w:tc>
          <w:tcPr>
            <w:tcW w:w="1910"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Cuestionario de actitudes hacia el sistema.  Escala Likert con seis opciones. 15 ítems. Evalúa actitudes sobre la orientación adaptativa, materiales recomendados por el sistema y compromiso y motivación.</w:t>
            </w:r>
          </w:p>
        </w:tc>
        <w:tc>
          <w:tcPr>
            <w:tcW w:w="1276" w:type="dxa"/>
            <w:tcBorders>
              <w:top w:val="nil"/>
              <w:left w:val="nil"/>
              <w:bottom w:val="single" w:sz="4" w:space="0" w:color="auto"/>
              <w:right w:val="single" w:sz="4" w:space="0" w:color="auto"/>
            </w:tcBorders>
            <w:shd w:val="clear" w:color="auto" w:fill="auto"/>
            <w:vAlign w:val="center"/>
            <w:hideMark/>
          </w:tcPr>
          <w:p w:rsidR="006718A0" w:rsidRPr="005B2B78"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 xml:space="preserve">Coeficiente de fiabilidad  de </w:t>
            </w:r>
            <w:proofErr w:type="spellStart"/>
            <w:r w:rsidRPr="005B2B78">
              <w:rPr>
                <w:rFonts w:eastAsia="Times New Roman" w:cs="Times New Roman"/>
                <w:color w:val="000000"/>
                <w:sz w:val="16"/>
                <w:szCs w:val="16"/>
                <w:lang w:eastAsia="es-CO"/>
              </w:rPr>
              <w:t>cronbach</w:t>
            </w:r>
            <w:proofErr w:type="spellEnd"/>
            <w:r w:rsidRPr="005B2B78">
              <w:rPr>
                <w:rFonts w:eastAsia="Times New Roman" w:cs="Times New Roman"/>
                <w:color w:val="000000"/>
                <w:sz w:val="16"/>
                <w:szCs w:val="16"/>
                <w:lang w:eastAsia="es-CO"/>
              </w:rPr>
              <w:t>:  0.96</w:t>
            </w:r>
          </w:p>
        </w:tc>
        <w:tc>
          <w:tcPr>
            <w:tcW w:w="1275" w:type="dxa"/>
            <w:tcBorders>
              <w:top w:val="nil"/>
              <w:left w:val="nil"/>
              <w:bottom w:val="single" w:sz="4" w:space="0" w:color="auto"/>
              <w:right w:val="single" w:sz="4" w:space="0" w:color="auto"/>
            </w:tcBorders>
            <w:shd w:val="clear" w:color="auto" w:fill="auto"/>
            <w:vAlign w:val="center"/>
            <w:hideMark/>
          </w:tcPr>
          <w:p w:rsidR="006718A0" w:rsidRPr="00C802CD" w:rsidRDefault="006718A0" w:rsidP="00FC2EE7">
            <w:pPr>
              <w:spacing w:after="0" w:line="216" w:lineRule="auto"/>
              <w:rPr>
                <w:rFonts w:eastAsia="Times New Roman" w:cs="Times New Roman"/>
                <w:color w:val="000000"/>
                <w:sz w:val="16"/>
                <w:szCs w:val="16"/>
                <w:lang w:eastAsia="es-CO"/>
              </w:rPr>
            </w:pPr>
            <w:r w:rsidRPr="005B2B78">
              <w:rPr>
                <w:rFonts w:eastAsia="Times New Roman" w:cs="Times New Roman"/>
                <w:color w:val="000000"/>
                <w:sz w:val="16"/>
                <w:szCs w:val="16"/>
                <w:lang w:eastAsia="es-CO"/>
              </w:rPr>
              <w:t>Media y desviación estándar</w:t>
            </w:r>
          </w:p>
        </w:tc>
        <w:tc>
          <w:tcPr>
            <w:tcW w:w="709" w:type="dxa"/>
            <w:vMerge/>
            <w:tcBorders>
              <w:left w:val="single" w:sz="4" w:space="0" w:color="auto"/>
              <w:bottom w:val="single" w:sz="4" w:space="0" w:color="auto"/>
              <w:right w:val="single" w:sz="4" w:space="0" w:color="auto"/>
            </w:tcBorders>
            <w:vAlign w:val="center"/>
          </w:tcPr>
          <w:p w:rsidR="006718A0" w:rsidRPr="00C802CD" w:rsidRDefault="006718A0" w:rsidP="00FC2EE7">
            <w:pPr>
              <w:spacing w:after="0" w:line="216" w:lineRule="auto"/>
              <w:rPr>
                <w:rFonts w:eastAsia="Times New Roman" w:cs="Times New Roman"/>
                <w:color w:val="000000"/>
                <w:sz w:val="16"/>
                <w:szCs w:val="16"/>
                <w:lang w:eastAsia="es-C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718A0" w:rsidRPr="00C802CD" w:rsidRDefault="006718A0" w:rsidP="00FC2EE7">
            <w:pPr>
              <w:spacing w:after="0" w:line="216" w:lineRule="auto"/>
              <w:rPr>
                <w:rFonts w:eastAsia="Times New Roman" w:cs="Times New Roman"/>
                <w:color w:val="000000"/>
                <w:sz w:val="16"/>
                <w:szCs w:val="16"/>
                <w:lang w:eastAsia="es-CO"/>
              </w:rPr>
            </w:pPr>
          </w:p>
        </w:tc>
      </w:tr>
    </w:tbl>
    <w:p w:rsidR="006718A0" w:rsidRPr="005D46C2" w:rsidRDefault="006718A0" w:rsidP="006718A0">
      <w:pPr>
        <w:spacing w:after="0"/>
        <w:rPr>
          <w:rFonts w:cs="Times New Roman"/>
          <w:b/>
          <w:color w:val="262626" w:themeColor="text1" w:themeTint="D9"/>
          <w:szCs w:val="24"/>
          <w:lang w:eastAsia="es-ES_tradnl"/>
        </w:rPr>
      </w:pPr>
    </w:p>
    <w:sectPr w:rsidR="006718A0" w:rsidRPr="005D46C2" w:rsidSect="006C4F4C">
      <w:headerReference w:type="even" r:id="rId6"/>
      <w:headerReference w:type="default" r:id="rId7"/>
      <w:footerReference w:type="even" r:id="rId8"/>
      <w:footerReference w:type="default" r:id="rId9"/>
      <w:headerReference w:type="first" r:id="rId10"/>
      <w:footerReference w:type="first" r:id="rId1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404" w:rsidRDefault="00D67404">
      <w:pPr>
        <w:spacing w:after="0" w:line="240" w:lineRule="auto"/>
      </w:pPr>
      <w:r>
        <w:separator/>
      </w:r>
    </w:p>
  </w:endnote>
  <w:endnote w:type="continuationSeparator" w:id="0">
    <w:p w:rsidR="00D67404" w:rsidRDefault="00D6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1A" w:rsidRDefault="006270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33" w:rsidRPr="0062701A" w:rsidRDefault="00D67404" w:rsidP="006270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1A" w:rsidRDefault="006270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404" w:rsidRDefault="00D67404">
      <w:pPr>
        <w:spacing w:after="0" w:line="240" w:lineRule="auto"/>
      </w:pPr>
      <w:r>
        <w:separator/>
      </w:r>
    </w:p>
  </w:footnote>
  <w:footnote w:type="continuationSeparator" w:id="0">
    <w:p w:rsidR="00D67404" w:rsidRDefault="00D67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1A" w:rsidRDefault="006270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1A" w:rsidRDefault="006270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1A" w:rsidRDefault="006270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A0"/>
    <w:rsid w:val="0062701A"/>
    <w:rsid w:val="0063279F"/>
    <w:rsid w:val="006718A0"/>
    <w:rsid w:val="00D67404"/>
    <w:rsid w:val="00F57F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8A0"/>
    <w:pPr>
      <w:spacing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718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8A0"/>
    <w:rPr>
      <w:rFonts w:ascii="Times New Roman" w:hAnsi="Times New Roman"/>
      <w:sz w:val="24"/>
    </w:rPr>
  </w:style>
  <w:style w:type="paragraph" w:styleId="Encabezado">
    <w:name w:val="header"/>
    <w:basedOn w:val="Normal"/>
    <w:link w:val="EncabezadoCar"/>
    <w:uiPriority w:val="99"/>
    <w:unhideWhenUsed/>
    <w:rsid w:val="00627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70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9880</Characters>
  <Application>Microsoft Office Word</Application>
  <DocSecurity>0</DocSecurity>
  <Lines>82</Lines>
  <Paragraphs>23</Paragraphs>
  <ScaleCrop>false</ScaleCrop>
  <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2016-10-17T09:29:00Z</dcterms:created>
  <dcterms:modified xsi:type="dcterms:W3CDTF">2016-10-17T09:29:00Z</dcterms:modified>
</cp:coreProperties>
</file>